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33C1" w14:textId="49A32067" w:rsidR="00813377" w:rsidRPr="00F25081" w:rsidRDefault="00A25053">
      <w:pPr>
        <w:rPr>
          <w:b/>
          <w:bCs/>
          <w:sz w:val="28"/>
          <w:szCs w:val="28"/>
        </w:rPr>
      </w:pPr>
      <w:r w:rsidRPr="00F25081">
        <w:rPr>
          <w:b/>
          <w:bCs/>
          <w:sz w:val="28"/>
          <w:szCs w:val="28"/>
        </w:rPr>
        <w:t>Suggested Spray Schedule for Spring Disease Control</w:t>
      </w:r>
      <w:r w:rsidR="00421056" w:rsidRPr="00F25081">
        <w:rPr>
          <w:b/>
          <w:bCs/>
          <w:sz w:val="28"/>
          <w:szCs w:val="28"/>
        </w:rPr>
        <w:t xml:space="preserve"> in Strawberries</w:t>
      </w:r>
    </w:p>
    <w:p w14:paraId="654A7009" w14:textId="7360F0C6" w:rsidR="00A25053" w:rsidRPr="00A95700" w:rsidRDefault="00A25053">
      <w:pPr>
        <w:rPr>
          <w:i/>
          <w:iCs/>
        </w:rPr>
      </w:pPr>
      <w:r w:rsidRPr="00A95700">
        <w:rPr>
          <w:i/>
          <w:iCs/>
        </w:rPr>
        <w:t>Bill Cline and Caleb Bollenbacher, NCSU</w:t>
      </w:r>
    </w:p>
    <w:p w14:paraId="23472929" w14:textId="3E3A9B3E" w:rsidR="00F25081" w:rsidRDefault="00F25081"/>
    <w:p w14:paraId="7100B695" w14:textId="0AB5C1F1" w:rsidR="00A25053" w:rsidRDefault="00F25081">
      <w:r>
        <w:rPr>
          <w:noProof/>
        </w:rPr>
        <w:drawing>
          <wp:anchor distT="0" distB="0" distL="114300" distR="114300" simplePos="0" relativeHeight="251660288" behindDoc="1" locked="0" layoutInCell="1" allowOverlap="1" wp14:anchorId="4FB63F29" wp14:editId="292A2DAD">
            <wp:simplePos x="0" y="0"/>
            <wp:positionH relativeFrom="column">
              <wp:posOffset>3138805</wp:posOffset>
            </wp:positionH>
            <wp:positionV relativeFrom="paragraph">
              <wp:posOffset>34290</wp:posOffset>
            </wp:positionV>
            <wp:extent cx="2734945" cy="2407920"/>
            <wp:effectExtent l="0" t="0" r="8255" b="0"/>
            <wp:wrapTight wrapText="bothSides">
              <wp:wrapPolygon edited="0">
                <wp:start x="0" y="0"/>
                <wp:lineTo x="0" y="21361"/>
                <wp:lineTo x="21515" y="21361"/>
                <wp:lineTo x="21515" y="0"/>
                <wp:lineTo x="0" y="0"/>
              </wp:wrapPolygon>
            </wp:wrapTight>
            <wp:docPr id="15279309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30974" name="Picture 15279309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EEF">
        <w:t xml:space="preserve">The fungicides we use on strawberries are not all the same – some control several diseases, while others </w:t>
      </w:r>
      <w:r w:rsidR="00421056">
        <w:t>control only</w:t>
      </w:r>
      <w:r w:rsidR="00884EEF">
        <w:t xml:space="preserve"> one.  Some product</w:t>
      </w:r>
      <w:r w:rsidR="00906DA3">
        <w:t xml:space="preserve">s are more susceptible to resistance development </w:t>
      </w:r>
      <w:r>
        <w:t>and are</w:t>
      </w:r>
      <w:r w:rsidR="00884EEF">
        <w:t xml:space="preserve"> restrict</w:t>
      </w:r>
      <w:r>
        <w:t>ed by</w:t>
      </w:r>
      <w:r w:rsidR="00884EEF">
        <w:t xml:space="preserve"> the number of times they can be used in a season</w:t>
      </w:r>
      <w:r w:rsidR="00906DA3">
        <w:t>.</w:t>
      </w:r>
      <w:r w:rsidR="00884EEF">
        <w:t xml:space="preserve"> </w:t>
      </w:r>
      <w:r>
        <w:t>This makes it difficult</w:t>
      </w:r>
      <w:r w:rsidR="00884EEF">
        <w:t xml:space="preserve"> to “stitch together” a spray program that controls diseases while also </w:t>
      </w:r>
      <w:r w:rsidR="00AD425C">
        <w:t>abiding by label restrictions</w:t>
      </w:r>
      <w:r w:rsidR="00884EEF">
        <w:t xml:space="preserve">.  </w:t>
      </w:r>
    </w:p>
    <w:p w14:paraId="749703BD" w14:textId="67E6054B" w:rsidR="00E01272" w:rsidRDefault="00A25053" w:rsidP="00701219">
      <w:pPr>
        <w:keepNext/>
      </w:pPr>
      <w:r w:rsidRPr="00E01272">
        <w:t xml:space="preserve">Older protectant fungicides like </w:t>
      </w:r>
      <w:proofErr w:type="spellStart"/>
      <w:r w:rsidRPr="00E01272">
        <w:t>Captan</w:t>
      </w:r>
      <w:proofErr w:type="spellEnd"/>
      <w:r w:rsidRPr="00E01272">
        <w:t xml:space="preserve"> and Thiram have broad efficacy</w:t>
      </w:r>
      <w:r w:rsidR="00421056">
        <w:t xml:space="preserve">, can be used repeatedly, and </w:t>
      </w:r>
      <w:r w:rsidR="007F5211">
        <w:t>have multiple modes of action</w:t>
      </w:r>
      <w:r w:rsidR="00F25081">
        <w:t>,</w:t>
      </w:r>
      <w:r w:rsidR="007F5211">
        <w:t xml:space="preserve"> meaning resistance development is unlikely.</w:t>
      </w:r>
      <w:r w:rsidR="00884EEF" w:rsidRPr="00E01272">
        <w:t xml:space="preserve">  </w:t>
      </w:r>
      <w:r w:rsidR="00C26C04">
        <w:t xml:space="preserve">In </w:t>
      </w:r>
      <w:r w:rsidR="00AD425C">
        <w:t xml:space="preserve">dry </w:t>
      </w:r>
      <w:r w:rsidR="00C26C04">
        <w:t>years with low disease pressure, protectants alone can provide sufficient disease control.</w:t>
      </w:r>
      <w:r w:rsidR="007F5211">
        <w:t xml:space="preserve"> </w:t>
      </w:r>
    </w:p>
    <w:p w14:paraId="04399431" w14:textId="10264D94" w:rsidR="00E01272" w:rsidRDefault="007F5211">
      <w:r>
        <w:rPr>
          <w:noProof/>
        </w:rPr>
        <w:drawing>
          <wp:anchor distT="0" distB="0" distL="114300" distR="114300" simplePos="0" relativeHeight="251658240" behindDoc="1" locked="0" layoutInCell="1" allowOverlap="1" wp14:anchorId="0B56C21B" wp14:editId="3A2313EB">
            <wp:simplePos x="0" y="0"/>
            <wp:positionH relativeFrom="margin">
              <wp:posOffset>-41275</wp:posOffset>
            </wp:positionH>
            <wp:positionV relativeFrom="paragraph">
              <wp:posOffset>52070</wp:posOffset>
            </wp:positionV>
            <wp:extent cx="2257425" cy="1991995"/>
            <wp:effectExtent l="0" t="0" r="9525" b="8255"/>
            <wp:wrapSquare wrapText="bothSides"/>
            <wp:docPr id="11979882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88222" name="Picture 11979882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25C">
        <w:t>Some fungicides target a single pest</w:t>
      </w:r>
      <w:r>
        <w:t>.</w:t>
      </w:r>
      <w:r w:rsidR="00E01272" w:rsidRPr="00E01272">
        <w:t xml:space="preserve"> </w:t>
      </w:r>
      <w:proofErr w:type="spellStart"/>
      <w:r>
        <w:t>Botryticides</w:t>
      </w:r>
      <w:proofErr w:type="spellEnd"/>
      <w:r>
        <w:t xml:space="preserve">, for example, </w:t>
      </w:r>
      <w:r w:rsidR="00E01272" w:rsidRPr="00E01272">
        <w:t xml:space="preserve">will </w:t>
      </w:r>
      <w:r w:rsidR="00AD425C">
        <w:t xml:space="preserve">only </w:t>
      </w:r>
      <w:r w:rsidR="00A25053" w:rsidRPr="00E01272">
        <w:t>work aga</w:t>
      </w:r>
      <w:r w:rsidR="00E01272" w:rsidRPr="00E01272">
        <w:t>inst</w:t>
      </w:r>
      <w:r w:rsidR="00A25053" w:rsidRPr="00E01272">
        <w:t xml:space="preserve"> gray mold (</w:t>
      </w:r>
      <w:r w:rsidR="00A25053" w:rsidRPr="00E01272">
        <w:rPr>
          <w:i/>
          <w:iCs/>
        </w:rPr>
        <w:t>Botrytis</w:t>
      </w:r>
      <w:r w:rsidR="00884EEF" w:rsidRPr="00E01272">
        <w:t>)</w:t>
      </w:r>
      <w:r w:rsidR="004A5547">
        <w:t>.  These botrytis-only products</w:t>
      </w:r>
      <w:r w:rsidR="00A25053" w:rsidRPr="00E01272">
        <w:t xml:space="preserve"> include</w:t>
      </w:r>
      <w:r w:rsidR="00884EEF" w:rsidRPr="00E01272">
        <w:t xml:space="preserve"> Elevate, Kenja, </w:t>
      </w:r>
      <w:proofErr w:type="spellStart"/>
      <w:r w:rsidR="00884EEF" w:rsidRPr="00E01272">
        <w:t>Fontelis</w:t>
      </w:r>
      <w:proofErr w:type="spellEnd"/>
      <w:r w:rsidR="00884EEF" w:rsidRPr="00E01272">
        <w:t xml:space="preserve">, Scala, and others.  </w:t>
      </w:r>
      <w:proofErr w:type="spellStart"/>
      <w:r w:rsidR="00884EEF" w:rsidRPr="00E01272">
        <w:t>Rovral</w:t>
      </w:r>
      <w:proofErr w:type="spellEnd"/>
      <w:r w:rsidR="00884EEF" w:rsidRPr="00E01272">
        <w:t xml:space="preserve"> is also a </w:t>
      </w:r>
      <w:proofErr w:type="spellStart"/>
      <w:r w:rsidR="00884EEF" w:rsidRPr="00E01272">
        <w:t>botryticide</w:t>
      </w:r>
      <w:proofErr w:type="spellEnd"/>
      <w:r w:rsidR="00884EEF" w:rsidRPr="00E01272">
        <w:t xml:space="preserve">, but can only be used once, prior to </w:t>
      </w:r>
      <w:r w:rsidR="004A5547">
        <w:t>“the first fruiting bloom”</w:t>
      </w:r>
      <w:r w:rsidR="00884EEF" w:rsidRPr="00E01272">
        <w:t xml:space="preserve">. </w:t>
      </w:r>
    </w:p>
    <w:p w14:paraId="0299CE1F" w14:textId="1C220B8E" w:rsidR="00D34DDD" w:rsidRDefault="00E01272">
      <w:r>
        <w:t>Newer, broad-spectrum</w:t>
      </w:r>
      <w:r w:rsidR="00D34DDD">
        <w:t xml:space="preserve"> or “pre-mixed”</w:t>
      </w:r>
      <w:r>
        <w:t xml:space="preserve"> products are also available that </w:t>
      </w:r>
      <w:r w:rsidR="00D34DDD">
        <w:t xml:space="preserve">combine two single mode of action fungicides. With </w:t>
      </w:r>
      <w:r>
        <w:t>more than one active ingredient</w:t>
      </w:r>
      <w:r w:rsidR="00D34DDD">
        <w:t>, these products</w:t>
      </w:r>
      <w:r>
        <w:t xml:space="preserve">  will </w:t>
      </w:r>
      <w:r w:rsidR="00C26C04">
        <w:t>reduce</w:t>
      </w:r>
      <w:r>
        <w:t xml:space="preserve"> Botrytis</w:t>
      </w:r>
      <w:r w:rsidR="00102C54">
        <w:t xml:space="preserve"> gray mold</w:t>
      </w:r>
      <w:r w:rsidR="00D34DDD">
        <w:t>,</w:t>
      </w:r>
      <w:r>
        <w:t xml:space="preserve"> Anthracnose fruit rot, and in some cases will also help to control </w:t>
      </w:r>
      <w:proofErr w:type="spellStart"/>
      <w:r>
        <w:t>Ne</w:t>
      </w:r>
      <w:r w:rsidR="008A6E3D">
        <w:t>o</w:t>
      </w:r>
      <w:r>
        <w:t>pestalotiopsis</w:t>
      </w:r>
      <w:proofErr w:type="spellEnd"/>
      <w:r>
        <w:t xml:space="preserve"> leaf and fruit rot</w:t>
      </w:r>
      <w:r w:rsidR="00D34DDD">
        <w:t xml:space="preserve"> (“Neo-P”)</w:t>
      </w:r>
      <w:r>
        <w:t>.</w:t>
      </w:r>
      <w:r w:rsidR="00AD425C">
        <w:t xml:space="preserve"> </w:t>
      </w:r>
    </w:p>
    <w:p w14:paraId="12D6AD42" w14:textId="61220620" w:rsidR="002F1A12" w:rsidRDefault="00B743E0">
      <w:r>
        <w:rPr>
          <w:noProof/>
        </w:rPr>
        <w:drawing>
          <wp:anchor distT="0" distB="0" distL="114300" distR="114300" simplePos="0" relativeHeight="251661312" behindDoc="0" locked="0" layoutInCell="1" allowOverlap="1" wp14:anchorId="4E19A43A" wp14:editId="3B0D7D75">
            <wp:simplePos x="0" y="0"/>
            <wp:positionH relativeFrom="column">
              <wp:posOffset>3643886</wp:posOffset>
            </wp:positionH>
            <wp:positionV relativeFrom="paragraph">
              <wp:posOffset>7582</wp:posOffset>
            </wp:positionV>
            <wp:extent cx="2128520" cy="2301875"/>
            <wp:effectExtent l="0" t="0" r="5080" b="3175"/>
            <wp:wrapSquare wrapText="bothSides"/>
            <wp:docPr id="1093788430" name="Picture 1" descr="A hand holding a strawber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88430" name="Picture 1" descr="A hand holding a strawber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12">
        <w:t>When developing a spray schedule</w:t>
      </w:r>
      <w:r w:rsidR="00AD425C">
        <w:t xml:space="preserve"> for your farm</w:t>
      </w:r>
      <w:r w:rsidR="002F1A12">
        <w:t xml:space="preserve">, it is important to rotate active ingredients to prevent resistance development and maximize long term control. </w:t>
      </w:r>
    </w:p>
    <w:p w14:paraId="0E664690" w14:textId="2B84EEB6" w:rsidR="00A95700" w:rsidRDefault="00102C54">
      <w:r>
        <w:t>The table below is</w:t>
      </w:r>
      <w:r w:rsidR="00B0061B">
        <w:t xml:space="preserve"> derived from an excellent presentation by Dr. Guido Schnabel in the 2021 strawberry webinar series at smallfruits.org.</w:t>
      </w:r>
      <w:r w:rsidR="002F1A12">
        <w:t xml:space="preserve"> </w:t>
      </w:r>
      <w:r w:rsidR="00B0061B">
        <w:t>This is</w:t>
      </w:r>
      <w:r>
        <w:t xml:space="preserve"> only one example and is not meant to exclude products </w:t>
      </w:r>
      <w:r w:rsidR="000E1ABB">
        <w:t>–</w:t>
      </w:r>
      <w:r>
        <w:t xml:space="preserve"> </w:t>
      </w:r>
      <w:r w:rsidR="000E1ABB">
        <w:t xml:space="preserve">there are many more labeled products and combinations that could be used in a </w:t>
      </w:r>
      <w:r>
        <w:t xml:space="preserve">sequence of weekly sprays. </w:t>
      </w:r>
      <w:r w:rsidR="00B0061B">
        <w:t xml:space="preserve"> </w:t>
      </w:r>
      <w:r>
        <w:t xml:space="preserve"> </w:t>
      </w:r>
    </w:p>
    <w:p w14:paraId="2AB941E0" w14:textId="50FAA80B" w:rsidR="00102C54" w:rsidRDefault="00102C54">
      <w:r>
        <w:t>This sequence assumes</w:t>
      </w:r>
      <w:r w:rsidR="004467FA">
        <w:t xml:space="preserve"> that </w:t>
      </w:r>
      <w:r w:rsidR="00B0061B">
        <w:t xml:space="preserve">(i) </w:t>
      </w:r>
      <w:r w:rsidR="004467FA">
        <w:t>sprays begin in March and the</w:t>
      </w:r>
      <w:r>
        <w:t xml:space="preserve"> first pick date is in late March or early April</w:t>
      </w:r>
      <w:r w:rsidR="00B0061B">
        <w:t xml:space="preserve">, (ii) </w:t>
      </w:r>
      <w:r w:rsidR="004A5547">
        <w:t>Botrytis</w:t>
      </w:r>
      <w:r w:rsidR="00B0061B">
        <w:t xml:space="preserve"> </w:t>
      </w:r>
      <w:r w:rsidR="00B0061B">
        <w:lastRenderedPageBreak/>
        <w:t xml:space="preserve">is a cool-season disease and will be more severe in early weeks, (iii) anthracnose is a warm-season disease and will be more severe later in the season, (iv) the use of Thiram and Switch will be maximized </w:t>
      </w:r>
      <w:r w:rsidR="00D55BC7">
        <w:t>to optimize</w:t>
      </w:r>
      <w:r w:rsidR="00B0061B">
        <w:t xml:space="preserve"> </w:t>
      </w:r>
      <w:r w:rsidR="00906DA3">
        <w:t xml:space="preserve">Neo-P </w:t>
      </w:r>
      <w:r w:rsidR="00D55BC7">
        <w:t xml:space="preserve">management </w:t>
      </w:r>
      <w:r w:rsidR="00B0061B">
        <w:t>and (v) there will be high disease pressure, i.e., rainy weather</w:t>
      </w:r>
      <w:r w:rsidR="00A95700">
        <w:t>,</w:t>
      </w:r>
      <w:r w:rsidR="00B0061B">
        <w:t xml:space="preserve"> in 2025 during harvest.</w:t>
      </w:r>
    </w:p>
    <w:p w14:paraId="0536402C" w14:textId="77777777" w:rsidR="004A5547" w:rsidRDefault="004A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800"/>
        <w:gridCol w:w="2970"/>
        <w:gridCol w:w="990"/>
        <w:gridCol w:w="980"/>
        <w:gridCol w:w="1463"/>
      </w:tblGrid>
      <w:tr w:rsidR="000E1ABB" w14:paraId="5A6B01B4" w14:textId="77777777" w:rsidTr="00220C70">
        <w:tc>
          <w:tcPr>
            <w:tcW w:w="9098" w:type="dxa"/>
            <w:gridSpan w:val="6"/>
          </w:tcPr>
          <w:p w14:paraId="1A97A411" w14:textId="17501713" w:rsidR="000E1ABB" w:rsidRDefault="006C54FD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One possible sequence of fungicide sprays, considering</w:t>
            </w:r>
            <w:r w:rsidR="00E47691">
              <w:rPr>
                <w:b/>
                <w:bCs/>
              </w:rPr>
              <w:t xml:space="preserve"> use</w:t>
            </w:r>
            <w:r w:rsidRPr="000D5181">
              <w:rPr>
                <w:b/>
                <w:bCs/>
              </w:rPr>
              <w:t xml:space="preserve"> </w:t>
            </w:r>
            <w:r w:rsidR="00E47691">
              <w:rPr>
                <w:b/>
                <w:bCs/>
              </w:rPr>
              <w:t>limits and rotation requirements for disease resistance management</w:t>
            </w:r>
            <w:r w:rsidRPr="000D5181">
              <w:rPr>
                <w:b/>
                <w:bCs/>
              </w:rPr>
              <w:t>.  Use caution with tank mixes, and when in doubt spray products separately rather than tank mixing.  Adjuvants are not recommended.</w:t>
            </w:r>
            <w:r w:rsidR="00E47691">
              <w:rPr>
                <w:b/>
                <w:bCs/>
              </w:rPr>
              <w:t xml:space="preserve">  See product labels for rates and precautions.</w:t>
            </w:r>
          </w:p>
          <w:p w14:paraId="015FFC9F" w14:textId="18F2B27A" w:rsidR="000D5181" w:rsidRPr="000D5181" w:rsidRDefault="000D5181">
            <w:pPr>
              <w:rPr>
                <w:b/>
                <w:bCs/>
              </w:rPr>
            </w:pPr>
          </w:p>
        </w:tc>
      </w:tr>
      <w:tr w:rsidR="00764055" w14:paraId="46005A99" w14:textId="77777777" w:rsidTr="00220C70">
        <w:tc>
          <w:tcPr>
            <w:tcW w:w="895" w:type="dxa"/>
          </w:tcPr>
          <w:p w14:paraId="58B31070" w14:textId="2F2908F9" w:rsidR="00220C70" w:rsidRPr="000D5181" w:rsidRDefault="00764055" w:rsidP="00220C70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 xml:space="preserve">Week </w:t>
            </w:r>
          </w:p>
          <w:p w14:paraId="616613A8" w14:textId="7499A94E" w:rsidR="00764055" w:rsidRPr="000D5181" w:rsidRDefault="00764055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14:paraId="240CF464" w14:textId="24E41FC7" w:rsidR="00764055" w:rsidRPr="000D5181" w:rsidRDefault="00B51671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2025 Dates (Monday-Saturday)</w:t>
            </w:r>
          </w:p>
        </w:tc>
        <w:tc>
          <w:tcPr>
            <w:tcW w:w="2970" w:type="dxa"/>
          </w:tcPr>
          <w:p w14:paraId="20086A6F" w14:textId="23F0D39F" w:rsidR="00764055" w:rsidRPr="000D5181" w:rsidRDefault="00764055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Fungicides</w:t>
            </w:r>
            <w:r w:rsidR="00A95700" w:rsidRPr="000D5181">
              <w:rPr>
                <w:b/>
                <w:bCs/>
              </w:rPr>
              <w:t xml:space="preserve"> (FRAC</w:t>
            </w:r>
            <w:r w:rsidR="00121088" w:rsidRPr="000D5181">
              <w:rPr>
                <w:b/>
                <w:bCs/>
              </w:rPr>
              <w:t xml:space="preserve"> codes in parentheses</w:t>
            </w:r>
            <w:r w:rsidR="00A95700" w:rsidRPr="000D5181">
              <w:rPr>
                <w:b/>
                <w:bCs/>
              </w:rPr>
              <w:t>)</w:t>
            </w:r>
          </w:p>
        </w:tc>
        <w:tc>
          <w:tcPr>
            <w:tcW w:w="990" w:type="dxa"/>
          </w:tcPr>
          <w:p w14:paraId="1E8A8905" w14:textId="041AF8A5" w:rsidR="00764055" w:rsidRPr="000D5181" w:rsidRDefault="00764055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Re-entry interval</w:t>
            </w:r>
          </w:p>
        </w:tc>
        <w:tc>
          <w:tcPr>
            <w:tcW w:w="980" w:type="dxa"/>
          </w:tcPr>
          <w:p w14:paraId="30A34413" w14:textId="4A182CFD" w:rsidR="00764055" w:rsidRPr="000D5181" w:rsidRDefault="00764055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Pre-harvest interval</w:t>
            </w:r>
          </w:p>
        </w:tc>
        <w:tc>
          <w:tcPr>
            <w:tcW w:w="1463" w:type="dxa"/>
          </w:tcPr>
          <w:p w14:paraId="3B5E207C" w14:textId="77777777" w:rsidR="00121088" w:rsidRPr="000D5181" w:rsidRDefault="00764055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Max</w:t>
            </w:r>
            <w:r w:rsidR="00A95700" w:rsidRPr="000D5181">
              <w:rPr>
                <w:b/>
                <w:bCs/>
              </w:rPr>
              <w:t xml:space="preserve"> #</w:t>
            </w:r>
            <w:r w:rsidRPr="000D5181">
              <w:rPr>
                <w:b/>
                <w:bCs/>
              </w:rPr>
              <w:t xml:space="preserve"> of applications </w:t>
            </w:r>
          </w:p>
          <w:p w14:paraId="7DE7F073" w14:textId="603A65BE" w:rsidR="00764055" w:rsidRPr="000D5181" w:rsidRDefault="00764055">
            <w:pPr>
              <w:rPr>
                <w:b/>
                <w:bCs/>
              </w:rPr>
            </w:pPr>
            <w:r w:rsidRPr="000D5181">
              <w:rPr>
                <w:b/>
                <w:bCs/>
              </w:rPr>
              <w:t>per season</w:t>
            </w:r>
          </w:p>
        </w:tc>
      </w:tr>
      <w:tr w:rsidR="00764055" w14:paraId="26A42B0E" w14:textId="77777777" w:rsidTr="00220C70">
        <w:tc>
          <w:tcPr>
            <w:tcW w:w="895" w:type="dxa"/>
          </w:tcPr>
          <w:p w14:paraId="2EABC9B0" w14:textId="031487BD" w:rsidR="00764055" w:rsidRDefault="00764055">
            <w:r>
              <w:t>1</w:t>
            </w:r>
          </w:p>
        </w:tc>
        <w:tc>
          <w:tcPr>
            <w:tcW w:w="1800" w:type="dxa"/>
          </w:tcPr>
          <w:p w14:paraId="0F653DE1" w14:textId="3275F6A9" w:rsidR="00764055" w:rsidRDefault="00764055">
            <w:r>
              <w:t>March 3-8</w:t>
            </w:r>
          </w:p>
        </w:tc>
        <w:tc>
          <w:tcPr>
            <w:tcW w:w="2970" w:type="dxa"/>
          </w:tcPr>
          <w:p w14:paraId="3A03AB84" w14:textId="6803ABEC" w:rsidR="00764055" w:rsidRDefault="00764055">
            <w:proofErr w:type="spellStart"/>
            <w:r>
              <w:t>Rovral</w:t>
            </w:r>
            <w:proofErr w:type="spellEnd"/>
            <w:r w:rsidR="00A95700">
              <w:t xml:space="preserve"> (2)</w:t>
            </w:r>
            <w:r w:rsidR="00B51671">
              <w:t xml:space="preserve">  [must be used before the first </w:t>
            </w:r>
            <w:r w:rsidR="00B51671" w:rsidRPr="000D5181">
              <w:rPr>
                <w:u w:val="single"/>
              </w:rPr>
              <w:t>fruiting</w:t>
            </w:r>
            <w:r w:rsidR="00B51671">
              <w:t xml:space="preserve"> flower</w:t>
            </w:r>
            <w:r w:rsidR="000D5181">
              <w:t xml:space="preserve"> has opened</w:t>
            </w:r>
            <w:r w:rsidR="00B51671">
              <w:t>]</w:t>
            </w:r>
          </w:p>
        </w:tc>
        <w:tc>
          <w:tcPr>
            <w:tcW w:w="990" w:type="dxa"/>
          </w:tcPr>
          <w:p w14:paraId="6913CE9A" w14:textId="5183AFCD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3AAA4D51" w14:textId="2AF4BBAA" w:rsidR="00764055" w:rsidRDefault="00B51671">
            <w:r>
              <w:t>30+ days</w:t>
            </w:r>
            <w:r w:rsidR="000D5181">
              <w:t>?</w:t>
            </w:r>
          </w:p>
        </w:tc>
        <w:tc>
          <w:tcPr>
            <w:tcW w:w="1463" w:type="dxa"/>
          </w:tcPr>
          <w:p w14:paraId="39D7CB6F" w14:textId="02776D57" w:rsidR="00764055" w:rsidRDefault="00764055">
            <w:r>
              <w:t>1x</w:t>
            </w:r>
          </w:p>
        </w:tc>
      </w:tr>
      <w:tr w:rsidR="00764055" w14:paraId="5D4EA75B" w14:textId="77777777" w:rsidTr="00220C70">
        <w:tc>
          <w:tcPr>
            <w:tcW w:w="895" w:type="dxa"/>
          </w:tcPr>
          <w:p w14:paraId="4BC17236" w14:textId="45A8145C" w:rsidR="00764055" w:rsidRDefault="00764055">
            <w:r>
              <w:t>2</w:t>
            </w:r>
          </w:p>
        </w:tc>
        <w:tc>
          <w:tcPr>
            <w:tcW w:w="1800" w:type="dxa"/>
          </w:tcPr>
          <w:p w14:paraId="57477109" w14:textId="18835BD5" w:rsidR="00764055" w:rsidRDefault="00764055">
            <w:r>
              <w:t>March 10-15</w:t>
            </w:r>
          </w:p>
        </w:tc>
        <w:tc>
          <w:tcPr>
            <w:tcW w:w="2970" w:type="dxa"/>
          </w:tcPr>
          <w:p w14:paraId="04BAF4E8" w14:textId="36523B9C" w:rsidR="00121088" w:rsidRDefault="00764055">
            <w:r>
              <w:t xml:space="preserve">Thiram </w:t>
            </w:r>
            <w:r w:rsidR="00A95700">
              <w:t xml:space="preserve">(M3) </w:t>
            </w:r>
            <w:r w:rsidR="00D55BC7">
              <w:t xml:space="preserve">or </w:t>
            </w:r>
            <w:proofErr w:type="spellStart"/>
            <w:r w:rsidR="00D55BC7">
              <w:t>Captan</w:t>
            </w:r>
            <w:proofErr w:type="spellEnd"/>
            <w:r w:rsidR="00D55BC7">
              <w:t xml:space="preserve"> (M4) +</w:t>
            </w:r>
            <w:r>
              <w:t xml:space="preserve"> </w:t>
            </w:r>
          </w:p>
          <w:p w14:paraId="6AC843ED" w14:textId="7131B158" w:rsidR="00764055" w:rsidRDefault="00764055">
            <w:r>
              <w:t xml:space="preserve">Kenja </w:t>
            </w:r>
            <w:r w:rsidR="00121088">
              <w:t xml:space="preserve">(7) </w:t>
            </w:r>
          </w:p>
        </w:tc>
        <w:tc>
          <w:tcPr>
            <w:tcW w:w="990" w:type="dxa"/>
          </w:tcPr>
          <w:p w14:paraId="5CB30E77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2297D330" w14:textId="7E8D365C" w:rsidR="000E1ABB" w:rsidRDefault="000E1ABB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54ACDFDF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639C5628" w14:textId="2ED6E207" w:rsidR="000E1ABB" w:rsidRDefault="000E1ABB">
            <w:r>
              <w:t>0 day</w:t>
            </w:r>
          </w:p>
        </w:tc>
        <w:tc>
          <w:tcPr>
            <w:tcW w:w="1463" w:type="dxa"/>
          </w:tcPr>
          <w:p w14:paraId="771909EC" w14:textId="2D195E0F" w:rsidR="00764055" w:rsidRDefault="00D55BC7">
            <w:r>
              <w:t>12x</w:t>
            </w:r>
            <w:r w:rsidR="00583DD0">
              <w:t xml:space="preserve"> or 8x</w:t>
            </w:r>
          </w:p>
          <w:p w14:paraId="1FE2DD40" w14:textId="06C11997" w:rsidR="00D55BC7" w:rsidRDefault="00D55BC7">
            <w:r>
              <w:t xml:space="preserve">Kenja </w:t>
            </w:r>
            <w:r w:rsidR="000E1ABB">
              <w:t>3</w:t>
            </w:r>
            <w:r>
              <w:t>x</w:t>
            </w:r>
          </w:p>
        </w:tc>
      </w:tr>
      <w:tr w:rsidR="00764055" w14:paraId="5F01E0BE" w14:textId="77777777" w:rsidTr="00220C70">
        <w:tc>
          <w:tcPr>
            <w:tcW w:w="895" w:type="dxa"/>
          </w:tcPr>
          <w:p w14:paraId="03362F69" w14:textId="5C21D7D4" w:rsidR="00764055" w:rsidRDefault="00764055">
            <w:r>
              <w:t>3</w:t>
            </w:r>
          </w:p>
        </w:tc>
        <w:tc>
          <w:tcPr>
            <w:tcW w:w="1800" w:type="dxa"/>
          </w:tcPr>
          <w:p w14:paraId="50C5914E" w14:textId="6FD79402" w:rsidR="00764055" w:rsidRDefault="00764055">
            <w:r>
              <w:t>March 17-22</w:t>
            </w:r>
          </w:p>
        </w:tc>
        <w:tc>
          <w:tcPr>
            <w:tcW w:w="2970" w:type="dxa"/>
          </w:tcPr>
          <w:p w14:paraId="51476468" w14:textId="08722000" w:rsidR="00121088" w:rsidRDefault="00121088">
            <w:r>
              <w:t>Thiram (M3)</w:t>
            </w:r>
            <w:r w:rsidR="00D55BC7">
              <w:t xml:space="preserve"> or </w:t>
            </w:r>
            <w:proofErr w:type="spellStart"/>
            <w:r w:rsidR="00D55BC7">
              <w:t>Captan</w:t>
            </w:r>
            <w:proofErr w:type="spellEnd"/>
            <w:r w:rsidR="00D55BC7">
              <w:t xml:space="preserve"> (M4)</w:t>
            </w:r>
            <w:r>
              <w:t xml:space="preserve"> </w:t>
            </w:r>
            <w:r w:rsidR="00D55BC7">
              <w:t>+</w:t>
            </w:r>
          </w:p>
          <w:p w14:paraId="46644617" w14:textId="6920FB91" w:rsidR="00764055" w:rsidRDefault="000E1ABB">
            <w:r>
              <w:t xml:space="preserve">Kenja </w:t>
            </w:r>
            <w:r w:rsidR="00121088">
              <w:t xml:space="preserve">(7) </w:t>
            </w:r>
          </w:p>
        </w:tc>
        <w:tc>
          <w:tcPr>
            <w:tcW w:w="990" w:type="dxa"/>
          </w:tcPr>
          <w:p w14:paraId="1950133E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146548DA" w14:textId="3A26CA95" w:rsidR="000E1ABB" w:rsidRDefault="000E1ABB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328E3FA3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0A15971B" w14:textId="4067CFA9" w:rsidR="000E1ABB" w:rsidRDefault="000E1ABB">
            <w:r>
              <w:t>0 days</w:t>
            </w:r>
          </w:p>
        </w:tc>
        <w:tc>
          <w:tcPr>
            <w:tcW w:w="1463" w:type="dxa"/>
          </w:tcPr>
          <w:p w14:paraId="3E1E89F2" w14:textId="7A2E5302" w:rsidR="00D55BC7" w:rsidRDefault="00583DD0" w:rsidP="00D55BC7">
            <w:r>
              <w:t>12x or 8x</w:t>
            </w:r>
          </w:p>
          <w:p w14:paraId="0FE1A84A" w14:textId="03167D59" w:rsidR="00764055" w:rsidRDefault="000E1ABB" w:rsidP="00D55BC7">
            <w:r>
              <w:t>Kenja</w:t>
            </w:r>
            <w:r w:rsidR="00D55BC7">
              <w:t xml:space="preserve"> 3x</w:t>
            </w:r>
          </w:p>
        </w:tc>
      </w:tr>
      <w:tr w:rsidR="00764055" w14:paraId="704C3C61" w14:textId="77777777" w:rsidTr="00220C70">
        <w:tc>
          <w:tcPr>
            <w:tcW w:w="895" w:type="dxa"/>
          </w:tcPr>
          <w:p w14:paraId="469C1E91" w14:textId="1961B8A9" w:rsidR="00764055" w:rsidRDefault="00764055">
            <w:r>
              <w:t>4</w:t>
            </w:r>
          </w:p>
        </w:tc>
        <w:tc>
          <w:tcPr>
            <w:tcW w:w="1800" w:type="dxa"/>
          </w:tcPr>
          <w:p w14:paraId="6E4D733F" w14:textId="683740B6" w:rsidR="00764055" w:rsidRDefault="00764055">
            <w:r>
              <w:t>March 24-29</w:t>
            </w:r>
          </w:p>
        </w:tc>
        <w:tc>
          <w:tcPr>
            <w:tcW w:w="2970" w:type="dxa"/>
          </w:tcPr>
          <w:p w14:paraId="6EBE0762" w14:textId="6B6A366D" w:rsidR="00D55BC7" w:rsidRDefault="00764055" w:rsidP="00D55BC7">
            <w:r>
              <w:t xml:space="preserve">Thiram </w:t>
            </w:r>
            <w:r w:rsidR="00121088">
              <w:t xml:space="preserve">(M3) </w:t>
            </w:r>
            <w:r w:rsidR="00D55BC7">
              <w:t xml:space="preserve">or </w:t>
            </w:r>
            <w:proofErr w:type="spellStart"/>
            <w:r w:rsidR="00D55BC7">
              <w:t>Captan</w:t>
            </w:r>
            <w:proofErr w:type="spellEnd"/>
            <w:r w:rsidR="00D55BC7">
              <w:t xml:space="preserve"> (M4) + </w:t>
            </w:r>
          </w:p>
          <w:p w14:paraId="2C4B182C" w14:textId="0A1BFCCD" w:rsidR="00764055" w:rsidRDefault="00764055" w:rsidP="00D55BC7">
            <w:r>
              <w:t>Elevate</w:t>
            </w:r>
            <w:r w:rsidR="00121088">
              <w:t xml:space="preserve"> (17)</w:t>
            </w:r>
          </w:p>
        </w:tc>
        <w:tc>
          <w:tcPr>
            <w:tcW w:w="990" w:type="dxa"/>
          </w:tcPr>
          <w:p w14:paraId="1243C93C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3A59EE1A" w14:textId="47E5ED26" w:rsidR="000E1ABB" w:rsidRDefault="000E1ABB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3757A760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73B8D460" w14:textId="0FF3128F" w:rsidR="000E1ABB" w:rsidRDefault="000E1ABB">
            <w:r>
              <w:t>0 days</w:t>
            </w:r>
          </w:p>
        </w:tc>
        <w:tc>
          <w:tcPr>
            <w:tcW w:w="1463" w:type="dxa"/>
          </w:tcPr>
          <w:p w14:paraId="57EB1332" w14:textId="30035F85" w:rsidR="00764055" w:rsidRDefault="00583DD0">
            <w:r>
              <w:t>12x or 8x</w:t>
            </w:r>
            <w:r w:rsidR="00D55BC7">
              <w:t xml:space="preserve"> </w:t>
            </w:r>
            <w:r w:rsidR="00764055">
              <w:t>Elevate 2x</w:t>
            </w:r>
          </w:p>
        </w:tc>
      </w:tr>
      <w:tr w:rsidR="00764055" w14:paraId="0B1E74AA" w14:textId="77777777" w:rsidTr="00220C70">
        <w:tc>
          <w:tcPr>
            <w:tcW w:w="895" w:type="dxa"/>
          </w:tcPr>
          <w:p w14:paraId="2A9F5B90" w14:textId="54F5DA4C" w:rsidR="00764055" w:rsidRDefault="00764055">
            <w:r>
              <w:t>5</w:t>
            </w:r>
          </w:p>
        </w:tc>
        <w:tc>
          <w:tcPr>
            <w:tcW w:w="1800" w:type="dxa"/>
          </w:tcPr>
          <w:p w14:paraId="3E885F55" w14:textId="0C3A0205" w:rsidR="00764055" w:rsidRDefault="00764055">
            <w:r>
              <w:t>March 31-April 5</w:t>
            </w:r>
          </w:p>
        </w:tc>
        <w:tc>
          <w:tcPr>
            <w:tcW w:w="2970" w:type="dxa"/>
          </w:tcPr>
          <w:p w14:paraId="317EA4DC" w14:textId="4DB46F7E" w:rsidR="00121088" w:rsidRDefault="00121088" w:rsidP="00121088">
            <w:r>
              <w:t>Thiram (M3)</w:t>
            </w:r>
            <w:r w:rsidR="00D55BC7">
              <w:t xml:space="preserve"> or </w:t>
            </w:r>
            <w:proofErr w:type="spellStart"/>
            <w:r w:rsidR="00D55BC7">
              <w:t>Captan</w:t>
            </w:r>
            <w:proofErr w:type="spellEnd"/>
            <w:r w:rsidR="00D55BC7">
              <w:t xml:space="preserve"> (M4)</w:t>
            </w:r>
            <w:r>
              <w:t xml:space="preserve"> + </w:t>
            </w:r>
          </w:p>
          <w:p w14:paraId="10BE0651" w14:textId="0245F828" w:rsidR="00764055" w:rsidRDefault="00121088" w:rsidP="00121088">
            <w:r>
              <w:t xml:space="preserve">Elevate (17) </w:t>
            </w:r>
          </w:p>
        </w:tc>
        <w:tc>
          <w:tcPr>
            <w:tcW w:w="990" w:type="dxa"/>
          </w:tcPr>
          <w:p w14:paraId="44C5589B" w14:textId="77777777" w:rsidR="000E1ABB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33E482AD" w14:textId="6DF756AF" w:rsidR="00764055" w:rsidRDefault="000E1ABB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2C5D507A" w14:textId="7777777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  <w:p w14:paraId="7ED358FA" w14:textId="2ADAAB7F" w:rsidR="000E1ABB" w:rsidRDefault="000E1ABB">
            <w:r>
              <w:t>0 days</w:t>
            </w:r>
          </w:p>
        </w:tc>
        <w:tc>
          <w:tcPr>
            <w:tcW w:w="1463" w:type="dxa"/>
          </w:tcPr>
          <w:p w14:paraId="588751BF" w14:textId="57DB4971" w:rsidR="000E1ABB" w:rsidRDefault="00583DD0">
            <w:r>
              <w:t>12x or 8x</w:t>
            </w:r>
          </w:p>
          <w:p w14:paraId="6504FB02" w14:textId="21F1E913" w:rsidR="00764055" w:rsidRDefault="00764055">
            <w:r>
              <w:t>Elevate 2x</w:t>
            </w:r>
          </w:p>
        </w:tc>
      </w:tr>
      <w:tr w:rsidR="00E76E13" w14:paraId="049A7574" w14:textId="77777777" w:rsidTr="00220C70">
        <w:tc>
          <w:tcPr>
            <w:tcW w:w="895" w:type="dxa"/>
          </w:tcPr>
          <w:p w14:paraId="16A06BF0" w14:textId="76C48A92" w:rsidR="00E76E13" w:rsidRDefault="00E76E13" w:rsidP="00E76E13">
            <w:bookmarkStart w:id="0" w:name="_Hlk191499504"/>
            <w:r>
              <w:t>6</w:t>
            </w:r>
          </w:p>
        </w:tc>
        <w:tc>
          <w:tcPr>
            <w:tcW w:w="1800" w:type="dxa"/>
          </w:tcPr>
          <w:p w14:paraId="23598D30" w14:textId="3D3939D9" w:rsidR="00E76E13" w:rsidRDefault="00E76E13" w:rsidP="00E76E13">
            <w:r>
              <w:t>April 7-12</w:t>
            </w:r>
          </w:p>
        </w:tc>
        <w:tc>
          <w:tcPr>
            <w:tcW w:w="2970" w:type="dxa"/>
          </w:tcPr>
          <w:p w14:paraId="3D8A2A5A" w14:textId="2F3BA369" w:rsidR="00E76E13" w:rsidRDefault="00E76E13" w:rsidP="00E76E13">
            <w:r>
              <w:t>Inspire Super (3+9)</w:t>
            </w:r>
          </w:p>
        </w:tc>
        <w:tc>
          <w:tcPr>
            <w:tcW w:w="990" w:type="dxa"/>
          </w:tcPr>
          <w:p w14:paraId="277B8ED7" w14:textId="67662A2A" w:rsidR="00E76E13" w:rsidRDefault="00D52708" w:rsidP="00E76E13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3F4B1B9D" w14:textId="097BEFCD" w:rsidR="00E76E13" w:rsidRDefault="00D52708" w:rsidP="00E76E13">
            <w:r>
              <w:t>0 day</w:t>
            </w:r>
          </w:p>
        </w:tc>
        <w:tc>
          <w:tcPr>
            <w:tcW w:w="1463" w:type="dxa"/>
          </w:tcPr>
          <w:p w14:paraId="78879635" w14:textId="2C507E88" w:rsidR="00E76E13" w:rsidRDefault="00E76E13" w:rsidP="00E76E13">
            <w:r>
              <w:t>4x</w:t>
            </w:r>
          </w:p>
        </w:tc>
      </w:tr>
      <w:bookmarkEnd w:id="0"/>
      <w:tr w:rsidR="00FA27F1" w14:paraId="274AD035" w14:textId="77777777" w:rsidTr="00220C70">
        <w:tc>
          <w:tcPr>
            <w:tcW w:w="895" w:type="dxa"/>
          </w:tcPr>
          <w:p w14:paraId="3498A2E8" w14:textId="6D04F1A1" w:rsidR="00FA27F1" w:rsidRDefault="00FA27F1" w:rsidP="00FA27F1">
            <w:r>
              <w:t>7</w:t>
            </w:r>
          </w:p>
        </w:tc>
        <w:tc>
          <w:tcPr>
            <w:tcW w:w="1800" w:type="dxa"/>
          </w:tcPr>
          <w:p w14:paraId="5EAE67DC" w14:textId="4CE1FE7D" w:rsidR="00FA27F1" w:rsidRDefault="00FA27F1" w:rsidP="00FA27F1">
            <w:r>
              <w:t>April 14-19</w:t>
            </w:r>
          </w:p>
        </w:tc>
        <w:tc>
          <w:tcPr>
            <w:tcW w:w="2970" w:type="dxa"/>
          </w:tcPr>
          <w:p w14:paraId="63D34AFF" w14:textId="3EBE2FC8" w:rsidR="00FA27F1" w:rsidRDefault="00FA27F1" w:rsidP="00FA27F1">
            <w:proofErr w:type="spellStart"/>
            <w:r>
              <w:t>Miravis</w:t>
            </w:r>
            <w:proofErr w:type="spellEnd"/>
            <w:r>
              <w:t xml:space="preserve"> Prime (7+12)</w:t>
            </w:r>
          </w:p>
        </w:tc>
        <w:tc>
          <w:tcPr>
            <w:tcW w:w="990" w:type="dxa"/>
          </w:tcPr>
          <w:p w14:paraId="50B5F136" w14:textId="2DEAE44F" w:rsidR="00FA27F1" w:rsidRDefault="00FA27F1" w:rsidP="00FA27F1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251132A1" w14:textId="27457C4C" w:rsidR="00FA27F1" w:rsidRDefault="00FA27F1" w:rsidP="00FA27F1">
            <w:r>
              <w:t>0 day</w:t>
            </w:r>
          </w:p>
        </w:tc>
        <w:tc>
          <w:tcPr>
            <w:tcW w:w="1463" w:type="dxa"/>
          </w:tcPr>
          <w:p w14:paraId="3BF0FDF1" w14:textId="3F6F1F51" w:rsidR="00FA27F1" w:rsidRDefault="00FA27F1" w:rsidP="00FA27F1">
            <w:r>
              <w:t>2x</w:t>
            </w:r>
          </w:p>
        </w:tc>
      </w:tr>
      <w:tr w:rsidR="00D52708" w14:paraId="7A6D17AE" w14:textId="77777777" w:rsidTr="00220C70">
        <w:tc>
          <w:tcPr>
            <w:tcW w:w="895" w:type="dxa"/>
          </w:tcPr>
          <w:p w14:paraId="7C2249EE" w14:textId="71B6B196" w:rsidR="00D52708" w:rsidRDefault="00D52708" w:rsidP="00D52708">
            <w:r>
              <w:t>8</w:t>
            </w:r>
          </w:p>
        </w:tc>
        <w:tc>
          <w:tcPr>
            <w:tcW w:w="1800" w:type="dxa"/>
          </w:tcPr>
          <w:p w14:paraId="4A7B3702" w14:textId="415C6ACF" w:rsidR="00D52708" w:rsidRDefault="00D52708" w:rsidP="00D52708">
            <w:r>
              <w:t>April 21-26</w:t>
            </w:r>
          </w:p>
        </w:tc>
        <w:tc>
          <w:tcPr>
            <w:tcW w:w="2970" w:type="dxa"/>
          </w:tcPr>
          <w:p w14:paraId="73FA11D4" w14:textId="06A6C721" w:rsidR="00D52708" w:rsidRDefault="00D52708" w:rsidP="00D52708">
            <w:proofErr w:type="spellStart"/>
            <w:r>
              <w:t>Miravis</w:t>
            </w:r>
            <w:proofErr w:type="spellEnd"/>
            <w:r>
              <w:t xml:space="preserve"> Prime (7+12)</w:t>
            </w:r>
          </w:p>
        </w:tc>
        <w:tc>
          <w:tcPr>
            <w:tcW w:w="990" w:type="dxa"/>
          </w:tcPr>
          <w:p w14:paraId="1074C717" w14:textId="4731E680" w:rsidR="00D52708" w:rsidRDefault="00D52708" w:rsidP="00D52708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0D7EEE2B" w14:textId="6064881A" w:rsidR="00D52708" w:rsidRDefault="00D52708" w:rsidP="00D52708">
            <w:r>
              <w:t>0 day</w:t>
            </w:r>
          </w:p>
        </w:tc>
        <w:tc>
          <w:tcPr>
            <w:tcW w:w="1463" w:type="dxa"/>
          </w:tcPr>
          <w:p w14:paraId="5B8AE481" w14:textId="4D733AF5" w:rsidR="00D52708" w:rsidRDefault="00D52708" w:rsidP="00D52708">
            <w:r>
              <w:t>2x</w:t>
            </w:r>
          </w:p>
        </w:tc>
      </w:tr>
      <w:tr w:rsidR="00E76E13" w14:paraId="030D73DC" w14:textId="77777777" w:rsidTr="00220C70">
        <w:tc>
          <w:tcPr>
            <w:tcW w:w="895" w:type="dxa"/>
          </w:tcPr>
          <w:p w14:paraId="463260DA" w14:textId="08C7AA54" w:rsidR="00E76E13" w:rsidRDefault="00E76E13" w:rsidP="00E76E13">
            <w:r>
              <w:t>9</w:t>
            </w:r>
          </w:p>
        </w:tc>
        <w:tc>
          <w:tcPr>
            <w:tcW w:w="1800" w:type="dxa"/>
          </w:tcPr>
          <w:p w14:paraId="15BA61BE" w14:textId="6198E37F" w:rsidR="00E76E13" w:rsidRDefault="00E76E13" w:rsidP="00E76E13">
            <w:r>
              <w:t>April 28-May 3</w:t>
            </w:r>
          </w:p>
        </w:tc>
        <w:tc>
          <w:tcPr>
            <w:tcW w:w="2970" w:type="dxa"/>
          </w:tcPr>
          <w:p w14:paraId="2A4461A2" w14:textId="1E261C7A" w:rsidR="00E76E13" w:rsidRDefault="00D52708" w:rsidP="00E76E13">
            <w:r w:rsidRPr="00D52708">
              <w:t xml:space="preserve">Thiram (M3) or </w:t>
            </w:r>
            <w:proofErr w:type="spellStart"/>
            <w:r w:rsidRPr="00D52708">
              <w:t>Captan</w:t>
            </w:r>
            <w:proofErr w:type="spellEnd"/>
            <w:r w:rsidRPr="00D52708">
              <w:t xml:space="preserve"> (M4)</w:t>
            </w:r>
          </w:p>
        </w:tc>
        <w:tc>
          <w:tcPr>
            <w:tcW w:w="990" w:type="dxa"/>
          </w:tcPr>
          <w:p w14:paraId="71FDE338" w14:textId="66C0A111" w:rsidR="00E76E13" w:rsidRDefault="00B51671" w:rsidP="00E76E13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286C050F" w14:textId="19266F19" w:rsidR="00E76E13" w:rsidRDefault="00B51671" w:rsidP="00E76E13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1463" w:type="dxa"/>
          </w:tcPr>
          <w:p w14:paraId="1C6252C1" w14:textId="65F78A91" w:rsidR="00E76E13" w:rsidRDefault="00583DD0" w:rsidP="00E76E13">
            <w:r>
              <w:t>12x or 8x</w:t>
            </w:r>
          </w:p>
        </w:tc>
      </w:tr>
      <w:tr w:rsidR="00764055" w14:paraId="231E646A" w14:textId="77777777" w:rsidTr="00220C70">
        <w:tc>
          <w:tcPr>
            <w:tcW w:w="895" w:type="dxa"/>
          </w:tcPr>
          <w:p w14:paraId="362265D0" w14:textId="551D7C5D" w:rsidR="00764055" w:rsidRDefault="00764055">
            <w:r>
              <w:t>10</w:t>
            </w:r>
          </w:p>
        </w:tc>
        <w:tc>
          <w:tcPr>
            <w:tcW w:w="1800" w:type="dxa"/>
          </w:tcPr>
          <w:p w14:paraId="60A89A74" w14:textId="617ED8BD" w:rsidR="00764055" w:rsidRDefault="00764055">
            <w:r>
              <w:t>May 5-10</w:t>
            </w:r>
          </w:p>
        </w:tc>
        <w:tc>
          <w:tcPr>
            <w:tcW w:w="2970" w:type="dxa"/>
          </w:tcPr>
          <w:p w14:paraId="3F3A4655" w14:textId="098B634A" w:rsidR="00764055" w:rsidRDefault="00764055">
            <w:r>
              <w:t>Switch</w:t>
            </w:r>
            <w:r w:rsidR="00A95700">
              <w:t xml:space="preserve"> (9+12)</w:t>
            </w:r>
          </w:p>
        </w:tc>
        <w:tc>
          <w:tcPr>
            <w:tcW w:w="990" w:type="dxa"/>
          </w:tcPr>
          <w:p w14:paraId="6BB066FC" w14:textId="2473428F" w:rsidR="00764055" w:rsidRDefault="00D52708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614CF2C6" w14:textId="1FFCE3DD" w:rsidR="00764055" w:rsidRDefault="00D52708">
            <w:r>
              <w:t>0 day</w:t>
            </w:r>
          </w:p>
        </w:tc>
        <w:tc>
          <w:tcPr>
            <w:tcW w:w="1463" w:type="dxa"/>
          </w:tcPr>
          <w:p w14:paraId="39A8FDD3" w14:textId="530AD2FC" w:rsidR="00764055" w:rsidRDefault="00764055">
            <w:r>
              <w:t>2x</w:t>
            </w:r>
          </w:p>
        </w:tc>
      </w:tr>
      <w:tr w:rsidR="00764055" w14:paraId="24B0A4AA" w14:textId="77777777" w:rsidTr="00220C70">
        <w:tc>
          <w:tcPr>
            <w:tcW w:w="895" w:type="dxa"/>
          </w:tcPr>
          <w:p w14:paraId="6D9DB44B" w14:textId="3A242167" w:rsidR="00764055" w:rsidRDefault="00764055">
            <w:bookmarkStart w:id="1" w:name="_Hlk191499533"/>
            <w:r>
              <w:t>11</w:t>
            </w:r>
          </w:p>
        </w:tc>
        <w:tc>
          <w:tcPr>
            <w:tcW w:w="1800" w:type="dxa"/>
          </w:tcPr>
          <w:p w14:paraId="561A89C5" w14:textId="754F7D6B" w:rsidR="00764055" w:rsidRDefault="00764055">
            <w:r>
              <w:t>May 12-17</w:t>
            </w:r>
          </w:p>
        </w:tc>
        <w:tc>
          <w:tcPr>
            <w:tcW w:w="2970" w:type="dxa"/>
          </w:tcPr>
          <w:p w14:paraId="53243364" w14:textId="371F36C8" w:rsidR="00764055" w:rsidRDefault="00D52708">
            <w:r w:rsidRPr="00D52708">
              <w:t xml:space="preserve">Thiram (M3) or </w:t>
            </w:r>
            <w:proofErr w:type="spellStart"/>
            <w:r w:rsidRPr="00D52708">
              <w:t>Captan</w:t>
            </w:r>
            <w:proofErr w:type="spellEnd"/>
            <w:r w:rsidRPr="00D52708">
              <w:t xml:space="preserve"> (M4)</w:t>
            </w:r>
          </w:p>
        </w:tc>
        <w:tc>
          <w:tcPr>
            <w:tcW w:w="990" w:type="dxa"/>
          </w:tcPr>
          <w:p w14:paraId="662FBD88" w14:textId="0FD21F6D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0DB62FFD" w14:textId="7117CC93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1463" w:type="dxa"/>
          </w:tcPr>
          <w:p w14:paraId="2ED46197" w14:textId="01CCA60C" w:rsidR="00764055" w:rsidRDefault="00583DD0">
            <w:r>
              <w:t>12x or 8x</w:t>
            </w:r>
          </w:p>
        </w:tc>
      </w:tr>
      <w:tr w:rsidR="00D52708" w14:paraId="02847AD4" w14:textId="77777777" w:rsidTr="00220C70">
        <w:tc>
          <w:tcPr>
            <w:tcW w:w="895" w:type="dxa"/>
          </w:tcPr>
          <w:p w14:paraId="6C6C3D16" w14:textId="4500B4C4" w:rsidR="00D52708" w:rsidRDefault="00D52708">
            <w:r>
              <w:t>12</w:t>
            </w:r>
          </w:p>
        </w:tc>
        <w:tc>
          <w:tcPr>
            <w:tcW w:w="1800" w:type="dxa"/>
          </w:tcPr>
          <w:p w14:paraId="0F707593" w14:textId="7BA2B4FE" w:rsidR="00D52708" w:rsidRDefault="00B51671">
            <w:r>
              <w:t>May 19-24</w:t>
            </w:r>
          </w:p>
        </w:tc>
        <w:tc>
          <w:tcPr>
            <w:tcW w:w="2970" w:type="dxa"/>
          </w:tcPr>
          <w:p w14:paraId="685B3030" w14:textId="438574EB" w:rsidR="00D52708" w:rsidRPr="00D52708" w:rsidRDefault="00D52708">
            <w:r w:rsidRPr="00D52708">
              <w:t xml:space="preserve">Thiram (M3) or </w:t>
            </w:r>
            <w:proofErr w:type="spellStart"/>
            <w:r w:rsidRPr="00D52708">
              <w:t>Captan</w:t>
            </w:r>
            <w:proofErr w:type="spellEnd"/>
            <w:r w:rsidRPr="00D52708">
              <w:t xml:space="preserve"> (M4)</w:t>
            </w:r>
            <w:r>
              <w:t xml:space="preserve"> </w:t>
            </w:r>
          </w:p>
        </w:tc>
        <w:tc>
          <w:tcPr>
            <w:tcW w:w="990" w:type="dxa"/>
          </w:tcPr>
          <w:p w14:paraId="0D548C97" w14:textId="36E2689A" w:rsidR="00D52708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7FA22696" w14:textId="6033F9A2" w:rsidR="00D52708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1463" w:type="dxa"/>
          </w:tcPr>
          <w:p w14:paraId="0AAF4F5E" w14:textId="65D07AFC" w:rsidR="00D52708" w:rsidRDefault="00583DD0">
            <w:r>
              <w:t>12x or 8x</w:t>
            </w:r>
          </w:p>
        </w:tc>
      </w:tr>
      <w:bookmarkEnd w:id="1"/>
      <w:tr w:rsidR="00D52708" w14:paraId="7A451B70" w14:textId="77777777" w:rsidTr="00220C70">
        <w:tc>
          <w:tcPr>
            <w:tcW w:w="895" w:type="dxa"/>
          </w:tcPr>
          <w:p w14:paraId="32631CE6" w14:textId="39B75E6A" w:rsidR="00D52708" w:rsidRDefault="00D52708" w:rsidP="00D52708">
            <w:r>
              <w:t>13</w:t>
            </w:r>
          </w:p>
        </w:tc>
        <w:tc>
          <w:tcPr>
            <w:tcW w:w="1800" w:type="dxa"/>
          </w:tcPr>
          <w:p w14:paraId="1F587F32" w14:textId="4EDE3639" w:rsidR="00D52708" w:rsidRDefault="00D52708" w:rsidP="00D52708">
            <w:r>
              <w:t>May</w:t>
            </w:r>
            <w:r w:rsidR="00B51671">
              <w:t xml:space="preserve"> </w:t>
            </w:r>
            <w:r w:rsidR="00A7136E">
              <w:t>2</w:t>
            </w:r>
            <w:r w:rsidR="00B51671">
              <w:t>6</w:t>
            </w:r>
            <w:r>
              <w:t>-</w:t>
            </w:r>
            <w:r w:rsidR="00B51671">
              <w:t>31</w:t>
            </w:r>
          </w:p>
        </w:tc>
        <w:tc>
          <w:tcPr>
            <w:tcW w:w="2970" w:type="dxa"/>
          </w:tcPr>
          <w:p w14:paraId="21145A43" w14:textId="53466215" w:rsidR="00D52708" w:rsidRDefault="00D52708" w:rsidP="00D52708">
            <w:r>
              <w:t>Switch (9+12)</w:t>
            </w:r>
          </w:p>
        </w:tc>
        <w:tc>
          <w:tcPr>
            <w:tcW w:w="990" w:type="dxa"/>
          </w:tcPr>
          <w:p w14:paraId="626AB0FF" w14:textId="4E2D902D" w:rsidR="00D52708" w:rsidRDefault="00D52708" w:rsidP="00D52708">
            <w:r>
              <w:t xml:space="preserve">12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5695EB9C" w14:textId="4500F24D" w:rsidR="00D52708" w:rsidRDefault="00D52708" w:rsidP="00D52708">
            <w:r>
              <w:t>0 day</w:t>
            </w:r>
          </w:p>
        </w:tc>
        <w:tc>
          <w:tcPr>
            <w:tcW w:w="1463" w:type="dxa"/>
          </w:tcPr>
          <w:p w14:paraId="24D77F8D" w14:textId="01E821CE" w:rsidR="00D52708" w:rsidRDefault="00D52708" w:rsidP="00D52708">
            <w:r>
              <w:t>2x</w:t>
            </w:r>
          </w:p>
        </w:tc>
      </w:tr>
      <w:tr w:rsidR="00764055" w14:paraId="7CA810B9" w14:textId="77777777" w:rsidTr="00220C70">
        <w:tc>
          <w:tcPr>
            <w:tcW w:w="895" w:type="dxa"/>
          </w:tcPr>
          <w:p w14:paraId="3857D256" w14:textId="64A29920" w:rsidR="00764055" w:rsidRDefault="00764055">
            <w:r>
              <w:t>1</w:t>
            </w:r>
            <w:r w:rsidR="00D52708">
              <w:t>4</w:t>
            </w:r>
          </w:p>
        </w:tc>
        <w:tc>
          <w:tcPr>
            <w:tcW w:w="1800" w:type="dxa"/>
          </w:tcPr>
          <w:p w14:paraId="1C2D04C3" w14:textId="7315679B" w:rsidR="00764055" w:rsidRDefault="00B51671">
            <w:r>
              <w:t>June 2-7</w:t>
            </w:r>
          </w:p>
        </w:tc>
        <w:tc>
          <w:tcPr>
            <w:tcW w:w="2970" w:type="dxa"/>
          </w:tcPr>
          <w:p w14:paraId="061C6650" w14:textId="31A30B24" w:rsidR="00764055" w:rsidRDefault="00D52708">
            <w:r w:rsidRPr="00D52708">
              <w:t xml:space="preserve">Thiram (M3) or </w:t>
            </w:r>
            <w:proofErr w:type="spellStart"/>
            <w:r w:rsidRPr="00D52708">
              <w:t>Captan</w:t>
            </w:r>
            <w:proofErr w:type="spellEnd"/>
            <w:r w:rsidRPr="00D52708">
              <w:t xml:space="preserve"> (M4)</w:t>
            </w:r>
          </w:p>
        </w:tc>
        <w:tc>
          <w:tcPr>
            <w:tcW w:w="990" w:type="dxa"/>
          </w:tcPr>
          <w:p w14:paraId="6CDF618C" w14:textId="32C0C536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980" w:type="dxa"/>
          </w:tcPr>
          <w:p w14:paraId="57172864" w14:textId="12816BE7" w:rsidR="00764055" w:rsidRDefault="00B51671"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1463" w:type="dxa"/>
          </w:tcPr>
          <w:p w14:paraId="0A8DCAC1" w14:textId="13922F27" w:rsidR="00764055" w:rsidRDefault="00583DD0">
            <w:r>
              <w:t>12x or 8x</w:t>
            </w:r>
          </w:p>
        </w:tc>
      </w:tr>
    </w:tbl>
    <w:p w14:paraId="3B9A4342" w14:textId="7CBE4711" w:rsidR="00A25053" w:rsidRDefault="00A25053"/>
    <w:p w14:paraId="35F23ED2" w14:textId="344A41F2" w:rsidR="004A5547" w:rsidRDefault="004A5547">
      <w:r>
        <w:t xml:space="preserve">Please let us know if you have any questions or spot any mistakes in this </w:t>
      </w:r>
      <w:r w:rsidR="000D5181">
        <w:t>hypothetical spray plan</w:t>
      </w:r>
      <w:r>
        <w:t xml:space="preserve">! </w:t>
      </w:r>
      <w:r w:rsidR="000D5181">
        <w:t xml:space="preserve">How different is this from your spray schedule?  </w:t>
      </w:r>
      <w:r>
        <w:t xml:space="preserve">It is a challenge to configure a </w:t>
      </w:r>
      <w:r w:rsidR="000D5181">
        <w:t xml:space="preserve">full-season </w:t>
      </w:r>
      <w:r>
        <w:t>spray schedule within the confines of current labeling.  Hopefully you will find this helpful.</w:t>
      </w:r>
    </w:p>
    <w:sectPr w:rsidR="004A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53"/>
    <w:rsid w:val="000266FA"/>
    <w:rsid w:val="00093B85"/>
    <w:rsid w:val="000D5181"/>
    <w:rsid w:val="000E1ABB"/>
    <w:rsid w:val="00102C54"/>
    <w:rsid w:val="00121088"/>
    <w:rsid w:val="00220C70"/>
    <w:rsid w:val="002A7185"/>
    <w:rsid w:val="002F1A12"/>
    <w:rsid w:val="00395B45"/>
    <w:rsid w:val="00421056"/>
    <w:rsid w:val="004467FA"/>
    <w:rsid w:val="004A5547"/>
    <w:rsid w:val="00583DD0"/>
    <w:rsid w:val="006C54FD"/>
    <w:rsid w:val="00701219"/>
    <w:rsid w:val="00764055"/>
    <w:rsid w:val="007F5211"/>
    <w:rsid w:val="00813377"/>
    <w:rsid w:val="00884EEF"/>
    <w:rsid w:val="008A6E3D"/>
    <w:rsid w:val="008F1F00"/>
    <w:rsid w:val="00906DA3"/>
    <w:rsid w:val="009F4788"/>
    <w:rsid w:val="00A25053"/>
    <w:rsid w:val="00A7136E"/>
    <w:rsid w:val="00A95700"/>
    <w:rsid w:val="00AD425C"/>
    <w:rsid w:val="00B0061B"/>
    <w:rsid w:val="00B4633C"/>
    <w:rsid w:val="00B51671"/>
    <w:rsid w:val="00B709DB"/>
    <w:rsid w:val="00B743E0"/>
    <w:rsid w:val="00C26C04"/>
    <w:rsid w:val="00C52484"/>
    <w:rsid w:val="00C80B99"/>
    <w:rsid w:val="00D1497E"/>
    <w:rsid w:val="00D34DDD"/>
    <w:rsid w:val="00D52708"/>
    <w:rsid w:val="00D55BC7"/>
    <w:rsid w:val="00E01272"/>
    <w:rsid w:val="00E47691"/>
    <w:rsid w:val="00E76E13"/>
    <w:rsid w:val="00EA7D9A"/>
    <w:rsid w:val="00ED505C"/>
    <w:rsid w:val="00F25081"/>
    <w:rsid w:val="00FA27F1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E8A0"/>
  <w15:chartTrackingRefBased/>
  <w15:docId w15:val="{BB9C7F94-DB9E-4CF7-9AA1-574C42B4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88"/>
  </w:style>
  <w:style w:type="paragraph" w:styleId="Heading1">
    <w:name w:val="heading 1"/>
    <w:basedOn w:val="Normal"/>
    <w:next w:val="Normal"/>
    <w:link w:val="Heading1Char"/>
    <w:uiPriority w:val="9"/>
    <w:qFormat/>
    <w:rsid w:val="00A2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0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26C0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Revision">
    <w:name w:val="Revision"/>
    <w:hidden/>
    <w:uiPriority w:val="99"/>
    <w:semiHidden/>
    <w:rsid w:val="008A6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O. Cline</dc:creator>
  <cp:keywords/>
  <dc:description/>
  <cp:lastModifiedBy>Phillip M Brannen</cp:lastModifiedBy>
  <cp:revision>2</cp:revision>
  <dcterms:created xsi:type="dcterms:W3CDTF">2025-03-04T12:38:00Z</dcterms:created>
  <dcterms:modified xsi:type="dcterms:W3CDTF">2025-03-04T12:38:00Z</dcterms:modified>
</cp:coreProperties>
</file>