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99" w:rsidRPr="00395624" w:rsidRDefault="00854E6B" w:rsidP="00D250A5">
      <w:pPr>
        <w:spacing w:after="0"/>
        <w:rPr>
          <w:b/>
        </w:rPr>
      </w:pPr>
      <w:bookmarkStart w:id="0" w:name="_GoBack"/>
      <w:bookmarkEnd w:id="0"/>
      <w:r w:rsidRPr="00395624">
        <w:rPr>
          <w:b/>
        </w:rPr>
        <w:t>MANAGEMENT</w:t>
      </w:r>
      <w:r w:rsidR="00D17DBE" w:rsidRPr="00395624">
        <w:rPr>
          <w:b/>
        </w:rPr>
        <w:t xml:space="preserve"> </w:t>
      </w:r>
      <w:r w:rsidRPr="00395624">
        <w:rPr>
          <w:b/>
        </w:rPr>
        <w:t xml:space="preserve">OF </w:t>
      </w:r>
      <w:r w:rsidR="008764B9">
        <w:rPr>
          <w:b/>
        </w:rPr>
        <w:t xml:space="preserve">SORGHUM </w:t>
      </w:r>
      <w:r w:rsidR="000E3D1F">
        <w:rPr>
          <w:b/>
        </w:rPr>
        <w:t xml:space="preserve">INSECT PESTS </w:t>
      </w:r>
      <w:r w:rsidR="008764B9">
        <w:rPr>
          <w:b/>
        </w:rPr>
        <w:t>IN 201</w:t>
      </w:r>
      <w:r w:rsidR="001054C4">
        <w:rPr>
          <w:b/>
        </w:rPr>
        <w:t>9</w:t>
      </w:r>
      <w:r w:rsidRPr="00395624">
        <w:rPr>
          <w:b/>
        </w:rPr>
        <w:t xml:space="preserve"> </w:t>
      </w:r>
    </w:p>
    <w:p w:rsidR="00C0383F" w:rsidRDefault="00E074F5" w:rsidP="00C41ACC">
      <w:pPr>
        <w:spacing w:after="0" w:line="240" w:lineRule="auto"/>
      </w:pPr>
      <w:r>
        <w:t>David Buntin, Grain Crop Entomologist</w:t>
      </w:r>
      <w:r w:rsidR="00754A51">
        <w:t>, UGA-Griffin Campus (</w:t>
      </w:r>
      <w:hyperlink r:id="rId5" w:history="1">
        <w:r w:rsidR="00754A51" w:rsidRPr="00FF4B17">
          <w:rPr>
            <w:rStyle w:val="Hyperlink"/>
          </w:rPr>
          <w:t>gbuntin@uga.edu</w:t>
        </w:r>
      </w:hyperlink>
      <w:r w:rsidR="00754A51">
        <w:t>)</w:t>
      </w:r>
    </w:p>
    <w:p w:rsidR="00DA6BE0" w:rsidRDefault="00DA6BE0" w:rsidP="00C41ACC">
      <w:pPr>
        <w:spacing w:after="0" w:line="240" w:lineRule="auto"/>
      </w:pPr>
      <w:r>
        <w:t>Michael Toews, Crop Entomologist, UGA-Tifton Campus (mtoews@uga.edu)</w:t>
      </w:r>
    </w:p>
    <w:p w:rsidR="00AB27BC" w:rsidRDefault="00AB27BC" w:rsidP="00C41ACC">
      <w:pPr>
        <w:spacing w:after="0" w:line="240" w:lineRule="auto"/>
        <w:rPr>
          <w:b/>
        </w:rPr>
      </w:pPr>
    </w:p>
    <w:p w:rsidR="00C41ACC" w:rsidRDefault="00C41ACC" w:rsidP="00C41ACC">
      <w:pPr>
        <w:spacing w:after="0" w:line="240" w:lineRule="auto"/>
      </w:pPr>
      <w:r>
        <w:rPr>
          <w:b/>
        </w:rPr>
        <w:t xml:space="preserve">Seed/Seedling Pests: </w:t>
      </w:r>
      <w:r w:rsidRPr="00C41ACC">
        <w:rPr>
          <w:b/>
        </w:rPr>
        <w:t>Lesser cornstalk borer:</w:t>
      </w:r>
      <w:r>
        <w:t xml:space="preserve"> </w:t>
      </w:r>
      <w:r w:rsidRPr="00C41ACC">
        <w:t>Larva of a moth that feeds on and may kill seedling plants. It is favored by conventional tillage under hot, dry conditions, sandy soils, double</w:t>
      </w:r>
      <w:r w:rsidR="0081247D">
        <w:t>-</w:t>
      </w:r>
      <w:r w:rsidRPr="00C41ACC">
        <w:t>cropping behind cereal grains, and planting into burnt cereal grain stubble. Best control is at-planting u</w:t>
      </w:r>
      <w:r w:rsidR="002F568E">
        <w:t>s</w:t>
      </w:r>
      <w:r w:rsidRPr="00C41ACC">
        <w:t>e of chlorpyrifos (Lorsban, others).  Seed treatments provide suppression. Rescue treatments, once damage is detected, often are ineffective.</w:t>
      </w:r>
    </w:p>
    <w:p w:rsidR="00C41ACC" w:rsidRDefault="00C41ACC" w:rsidP="00C41ACC">
      <w:pPr>
        <w:spacing w:after="0" w:line="240" w:lineRule="auto"/>
      </w:pPr>
    </w:p>
    <w:p w:rsidR="00AB27BC" w:rsidRDefault="00AB27BC" w:rsidP="00C41AC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97BF533" wp14:editId="437A528F">
            <wp:simplePos x="0" y="0"/>
            <wp:positionH relativeFrom="margin">
              <wp:posOffset>5070944</wp:posOffset>
            </wp:positionH>
            <wp:positionV relativeFrom="paragraph">
              <wp:posOffset>5439</wp:posOffset>
            </wp:positionV>
            <wp:extent cx="1380675" cy="930606"/>
            <wp:effectExtent l="0" t="0" r="0" b="3175"/>
            <wp:wrapNone/>
            <wp:docPr id="1" name="Picture 1" descr="http://entomology.unl.edu/images/smgrains/chinchbg/chinchb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tomology.unl.edu/images/smgrains/chinchbg/chinchbg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t="10709" r="17778" b="12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95" cy="933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CC" w:rsidRPr="003B40E3">
        <w:rPr>
          <w:b/>
        </w:rPr>
        <w:t xml:space="preserve">Chinch bugs: </w:t>
      </w:r>
      <w:r w:rsidR="00851805" w:rsidRPr="003B40E3">
        <w:t xml:space="preserve">can infest sorghum at any stage, but is most damaging during the seedling </w:t>
      </w:r>
    </w:p>
    <w:p w:rsidR="00AB27BC" w:rsidRDefault="00851805" w:rsidP="00C41ACC">
      <w:pPr>
        <w:spacing w:after="0" w:line="240" w:lineRule="auto"/>
      </w:pPr>
      <w:r w:rsidRPr="003B40E3">
        <w:t xml:space="preserve">and early vegetative stages.  Adults are about </w:t>
      </w:r>
      <w:r w:rsidR="0081247D" w:rsidRPr="003B40E3">
        <w:t>1/8-inch-long</w:t>
      </w:r>
      <w:r w:rsidRPr="003B40E3">
        <w:t xml:space="preserve">, black with a white to silver </w:t>
      </w:r>
    </w:p>
    <w:p w:rsidR="00AB27BC" w:rsidRDefault="00851805" w:rsidP="00851805">
      <w:pPr>
        <w:spacing w:after="0" w:line="240" w:lineRule="auto"/>
      </w:pPr>
      <w:r w:rsidRPr="003B40E3">
        <w:t>'X' marking on the back.</w:t>
      </w:r>
      <w:r w:rsidR="00AB27BC">
        <w:t xml:space="preserve"> </w:t>
      </w:r>
      <w:r w:rsidRPr="003B40E3">
        <w:t xml:space="preserve">Chinch bugs suck plant sap and feed mostly on the stem and </w:t>
      </w:r>
    </w:p>
    <w:p w:rsidR="00AB27BC" w:rsidRDefault="00851805" w:rsidP="00851805">
      <w:pPr>
        <w:spacing w:after="0" w:line="240" w:lineRule="auto"/>
      </w:pPr>
      <w:r w:rsidRPr="003B40E3">
        <w:t>large leaf veins.</w:t>
      </w:r>
      <w:r w:rsidR="0038049D">
        <w:t xml:space="preserve"> Fe</w:t>
      </w:r>
      <w:r w:rsidRPr="003B40E3">
        <w:t>eding causes red/yellow leaf discoloration, wilting and stunted</w:t>
      </w:r>
    </w:p>
    <w:p w:rsidR="00AB27BC" w:rsidRDefault="00851805" w:rsidP="00851805">
      <w:pPr>
        <w:spacing w:after="0" w:line="240" w:lineRule="auto"/>
      </w:pPr>
      <w:r w:rsidRPr="003B40E3">
        <w:t xml:space="preserve"> growth. Chinch bugs prefer hot dry conditions. Treat when </w:t>
      </w:r>
      <w:r w:rsidR="0038049D">
        <w:t>50</w:t>
      </w:r>
      <w:r w:rsidRPr="003B40E3">
        <w:t xml:space="preserve">% of plants are infested </w:t>
      </w:r>
    </w:p>
    <w:p w:rsidR="00C41ACC" w:rsidRPr="003B40E3" w:rsidRDefault="00851805" w:rsidP="00851805">
      <w:pPr>
        <w:spacing w:after="0" w:line="240" w:lineRule="auto"/>
        <w:rPr>
          <w:b/>
        </w:rPr>
      </w:pPr>
      <w:r w:rsidRPr="003B40E3">
        <w:t>OR five or more chinch bugs per plant are present.</w:t>
      </w:r>
    </w:p>
    <w:p w:rsidR="00C41ACC" w:rsidRPr="003B40E3" w:rsidRDefault="00C41ACC" w:rsidP="00C41ACC">
      <w:pPr>
        <w:spacing w:after="0" w:line="240" w:lineRule="auto"/>
        <w:rPr>
          <w:b/>
        </w:rPr>
      </w:pPr>
    </w:p>
    <w:p w:rsidR="00C41ACC" w:rsidRPr="003B40E3" w:rsidRDefault="00851805" w:rsidP="00851805">
      <w:pPr>
        <w:spacing w:after="0" w:line="240" w:lineRule="auto"/>
      </w:pPr>
      <w:r w:rsidRPr="003B40E3">
        <w:rPr>
          <w:b/>
        </w:rPr>
        <w:t xml:space="preserve">Whorl worms usually fall armyworm: </w:t>
      </w:r>
      <w:r w:rsidRPr="003B40E3">
        <w:t>Sorghum is very tolerant of defoliation.</w:t>
      </w:r>
      <w:r w:rsidR="002F568E">
        <w:t xml:space="preserve"> Insecticide c</w:t>
      </w:r>
      <w:r w:rsidRPr="003B40E3">
        <w:t>ontrol seldom is justified. Treatment should be considered when 50% or more of the whorls are being damaged and larvae are present, OR one or more worms per whorl are present.</w:t>
      </w:r>
    </w:p>
    <w:p w:rsidR="00851805" w:rsidRPr="003B40E3" w:rsidRDefault="00851805" w:rsidP="00851805">
      <w:pPr>
        <w:spacing w:after="0" w:line="240" w:lineRule="auto"/>
      </w:pPr>
    </w:p>
    <w:p w:rsidR="00851805" w:rsidRPr="001D4DB1" w:rsidRDefault="00851805" w:rsidP="00851805">
      <w:pPr>
        <w:spacing w:after="0" w:line="240" w:lineRule="auto"/>
        <w:rPr>
          <w:b/>
        </w:rPr>
      </w:pPr>
      <w:r w:rsidRPr="00851805">
        <w:rPr>
          <w:b/>
        </w:rPr>
        <w:t xml:space="preserve">Sorghum midge: </w:t>
      </w:r>
      <w:r>
        <w:rPr>
          <w:b/>
        </w:rPr>
        <w:t xml:space="preserve"> </w:t>
      </w:r>
      <w:r w:rsidRPr="001D4DB1">
        <w:t xml:space="preserve">Sorghum midge is a tiny, fragile-looking, orange-colored gnat-like fly.  Eggs are laid singly in sorghum flowers during pollination. The larva is an orange maggot that feeds on the developing seed. </w:t>
      </w:r>
      <w:r w:rsidR="009F4E72" w:rsidRPr="001D4DB1">
        <w:t>Early plantings often avoid serious midge infestations</w:t>
      </w:r>
      <w:r w:rsidR="009F4E72" w:rsidRPr="00E93447">
        <w:rPr>
          <w:rFonts w:cstheme="minorHAnsi"/>
        </w:rPr>
        <w:t xml:space="preserve">. </w:t>
      </w:r>
      <w:r w:rsidRPr="00E93447">
        <w:rPr>
          <w:rFonts w:eastAsia="Times New Roman" w:cstheme="minorHAnsi"/>
        </w:rPr>
        <w:t>Control of sorghum midge requires control of egg-laying adults. Sample 20 heads with a 1-gal plastic freezer bag</w:t>
      </w:r>
      <w:r w:rsidR="001D4DB1" w:rsidRPr="00E93447">
        <w:rPr>
          <w:rFonts w:eastAsia="Times New Roman" w:cstheme="minorHAnsi"/>
        </w:rPr>
        <w:t xml:space="preserve"> for adult midges</w:t>
      </w:r>
      <w:r w:rsidRPr="00E93447">
        <w:rPr>
          <w:rFonts w:eastAsia="Times New Roman" w:cstheme="minorHAnsi"/>
        </w:rPr>
        <w:t>.</w:t>
      </w:r>
      <w:r w:rsidRPr="001D4DB1">
        <w:rPr>
          <w:rFonts w:ascii="Times New Roman" w:eastAsia="Times New Roman" w:hAnsi="Times New Roman" w:cs="Times New Roman"/>
        </w:rPr>
        <w:t xml:space="preserve"> Tr</w:t>
      </w:r>
      <w:r w:rsidRPr="001D4DB1">
        <w:t>eatment threshold is one 1 adult per panicle (head) at about 25-30% bloom. Re-inspect fields within three (3) days and continue to sample until 90% bloom and re-treat if needed. Pyrethroid insecticides are very effective but may flare sugarcane aphid.</w:t>
      </w:r>
      <w:r w:rsidR="001D4DB1" w:rsidRPr="001D4DB1">
        <w:t xml:space="preserve">  Use Blackhawk or Chlorpyrifos (1 pint per are) for low to moderate infestations.  Pyrethroids can be tank mixed with Sivanto prime (Do not use Transform </w:t>
      </w:r>
      <w:r w:rsidR="009F4E72">
        <w:t xml:space="preserve">WG </w:t>
      </w:r>
      <w:r w:rsidR="001D4DB1" w:rsidRPr="001D4DB1">
        <w:t xml:space="preserve">during bloom).  </w:t>
      </w:r>
    </w:p>
    <w:p w:rsidR="00C41ACC" w:rsidRDefault="00C41ACC" w:rsidP="00C41ACC">
      <w:pPr>
        <w:spacing w:after="0" w:line="240" w:lineRule="auto"/>
        <w:rPr>
          <w:b/>
        </w:rPr>
      </w:pPr>
    </w:p>
    <w:p w:rsidR="00AB27BC" w:rsidRDefault="003B40E3" w:rsidP="00AB27BC">
      <w:pPr>
        <w:spacing w:after="0" w:line="240" w:lineRule="auto"/>
      </w:pPr>
      <w:r>
        <w:rPr>
          <w:b/>
        </w:rPr>
        <w:t xml:space="preserve">Headworms: Usually Corn earworm, fall armyworm or sorghum webworm. </w:t>
      </w:r>
      <w:r>
        <w:t xml:space="preserve"> Sample 25-50 heads over a bucket and count larvae. Treat if 1 or more larva</w:t>
      </w:r>
      <w:r w:rsidR="0038049D">
        <w:t>e</w:t>
      </w:r>
      <w:r>
        <w:t xml:space="preserve"> (1/2 inch or longer) </w:t>
      </w:r>
      <w:r w:rsidR="0038049D">
        <w:t>are</w:t>
      </w:r>
      <w:r>
        <w:t xml:space="preserve"> present or 5 or more webworms are present. </w:t>
      </w:r>
      <w:r w:rsidR="00AB27BC">
        <w:t xml:space="preserve">Use Prevathon, </w:t>
      </w:r>
      <w:r w:rsidR="0038049D">
        <w:t>Blackhawk,</w:t>
      </w:r>
      <w:r w:rsidR="00AB27BC">
        <w:t xml:space="preserve"> or Lannate for </w:t>
      </w:r>
      <w:r w:rsidR="009F4E72">
        <w:t>headworms</w:t>
      </w:r>
      <w:r w:rsidR="00AB27BC">
        <w:t xml:space="preserve">. </w:t>
      </w:r>
      <w:r w:rsidR="0038049D">
        <w:t xml:space="preserve"> Beseige is a mix of P</w:t>
      </w:r>
      <w:r w:rsidR="0034334A">
        <w:t>revathon and l</w:t>
      </w:r>
      <w:r w:rsidR="0038049D">
        <w:t xml:space="preserve">ambda cyhalothrin. </w:t>
      </w:r>
    </w:p>
    <w:p w:rsidR="00AB27BC" w:rsidRDefault="00AB27BC" w:rsidP="00C41ACC">
      <w:pPr>
        <w:spacing w:after="0" w:line="240" w:lineRule="auto"/>
      </w:pPr>
    </w:p>
    <w:p w:rsidR="00AB27BC" w:rsidRPr="009F4E72" w:rsidRDefault="00AB27BC" w:rsidP="00C41ACC">
      <w:pPr>
        <w:spacing w:after="0" w:line="240" w:lineRule="auto"/>
      </w:pPr>
      <w:r w:rsidRPr="00AB27BC">
        <w:rPr>
          <w:b/>
        </w:rPr>
        <w:t>Stink bugs on grain heads:</w:t>
      </w:r>
      <w:r>
        <w:t xml:space="preserve">  Southern green, green and brown stink bugs. Also leaf-footed bugs. </w:t>
      </w:r>
      <w:r w:rsidRPr="009F4E72">
        <w:t>Treat if combined numbers of all stink bugs (large nymphs and adults) exceeds 3 bugs per head during milk stage or 6 bugs per head during soft dough stage.</w:t>
      </w:r>
    </w:p>
    <w:p w:rsidR="00C41ACC" w:rsidRDefault="00C41ACC" w:rsidP="00C41ACC">
      <w:pPr>
        <w:spacing w:after="0" w:line="240" w:lineRule="auto"/>
        <w:rPr>
          <w:b/>
        </w:rPr>
      </w:pPr>
    </w:p>
    <w:p w:rsidR="000B7338" w:rsidRDefault="000B7338" w:rsidP="00A216AC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12C5E2" wp14:editId="023E1B17">
            <wp:simplePos x="0" y="0"/>
            <wp:positionH relativeFrom="margin">
              <wp:posOffset>5325152</wp:posOffset>
            </wp:positionH>
            <wp:positionV relativeFrom="paragraph">
              <wp:posOffset>290029</wp:posOffset>
            </wp:positionV>
            <wp:extent cx="1329096" cy="702390"/>
            <wp:effectExtent l="8573" t="0" r="0" b="0"/>
            <wp:wrapNone/>
            <wp:docPr id="8" name="Picture 8" descr="C:\Documents and Settings\jall\My Documents\My Pictures\fallarmywo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all\My Documents\My Pictures\fallarmywor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9096" cy="70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6AC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1DE7B3DC" wp14:editId="5CEBC6A0">
            <wp:simplePos x="0" y="0"/>
            <wp:positionH relativeFrom="column">
              <wp:posOffset>1354455</wp:posOffset>
            </wp:positionH>
            <wp:positionV relativeFrom="paragraph">
              <wp:posOffset>6860540</wp:posOffset>
            </wp:positionV>
            <wp:extent cx="2743200" cy="1449705"/>
            <wp:effectExtent l="0" t="0" r="0" b="0"/>
            <wp:wrapNone/>
            <wp:docPr id="7" name="Picture 7" descr="C:\Documents and Settings\jall\My Documents\My Pictures\fallarmywo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ll\My Documents\My Pictures\fallarmyworm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6AC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C2FE1CF" wp14:editId="33F69B71">
            <wp:simplePos x="0" y="0"/>
            <wp:positionH relativeFrom="column">
              <wp:posOffset>1354455</wp:posOffset>
            </wp:positionH>
            <wp:positionV relativeFrom="paragraph">
              <wp:posOffset>6860540</wp:posOffset>
            </wp:positionV>
            <wp:extent cx="2743200" cy="1449705"/>
            <wp:effectExtent l="0" t="0" r="0" b="0"/>
            <wp:wrapNone/>
            <wp:docPr id="5" name="Picture 5" descr="C:\Documents and Settings\jall\My Documents\My Pictures\fallarmywo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ll\My Documents\My Pictures\fallarmyworm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6AC">
        <w:rPr>
          <w:noProof/>
          <w:sz w:val="24"/>
        </w:rPr>
        <w:drawing>
          <wp:inline distT="0" distB="0" distL="0" distR="0" wp14:anchorId="16B5FE58" wp14:editId="5EEB2399">
            <wp:extent cx="1327868" cy="1254973"/>
            <wp:effectExtent l="0" t="0" r="5715" b="2540"/>
            <wp:docPr id="2" name="Picture 2" descr="E:\1130-db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30-db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24" cy="128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4CF">
        <w:rPr>
          <w:noProof/>
        </w:rPr>
        <w:drawing>
          <wp:inline distT="0" distB="0" distL="0" distR="0" wp14:anchorId="7DC1962B" wp14:editId="06AAFDEA">
            <wp:extent cx="1653872" cy="1232051"/>
            <wp:effectExtent l="0" t="0" r="3810" b="635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421" cy="126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4CF">
        <w:rPr>
          <w:noProof/>
        </w:rPr>
        <w:drawing>
          <wp:inline distT="0" distB="0" distL="0" distR="0" wp14:anchorId="68DBAB15" wp14:editId="4E3F43DB">
            <wp:extent cx="1876508" cy="1249784"/>
            <wp:effectExtent l="0" t="0" r="0" b="762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116" cy="129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6C1B12BB" wp14:editId="65AA7888">
            <wp:extent cx="1302874" cy="853050"/>
            <wp:effectExtent l="0" t="3810" r="8255" b="8255"/>
            <wp:docPr id="3" name="Picture 3" descr="E:\1130-db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130-db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1" r="20745"/>
                    <a:stretch/>
                  </pic:blipFill>
                  <pic:spPr bwMode="auto">
                    <a:xfrm rot="5400000">
                      <a:off x="0" y="0"/>
                      <a:ext cx="1332440" cy="87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6AC" w:rsidRPr="0038049D" w:rsidRDefault="00A216AC" w:rsidP="00A216AC">
      <w:r w:rsidRPr="0038049D">
        <w:t>Photos (left to right): Sorghum midge, sugarcane aphid infestatio</w:t>
      </w:r>
      <w:r w:rsidR="000B7338" w:rsidRPr="0038049D">
        <w:t xml:space="preserve">n and close up, sorghum webworm on grain head, </w:t>
      </w:r>
      <w:r w:rsidR="0038049D">
        <w:t xml:space="preserve">and </w:t>
      </w:r>
      <w:r w:rsidR="000B7338" w:rsidRPr="0038049D">
        <w:t>fall armyworm in whorl.</w:t>
      </w:r>
      <w:r w:rsidRPr="0038049D">
        <w:t xml:space="preserve"> </w:t>
      </w:r>
    </w:p>
    <w:p w:rsidR="000B7338" w:rsidRDefault="000B7338" w:rsidP="00A216AC">
      <w:pPr>
        <w:rPr>
          <w:b/>
        </w:rPr>
      </w:pPr>
    </w:p>
    <w:p w:rsidR="00EA0827" w:rsidRDefault="00EA0827" w:rsidP="00A216AC">
      <w:pPr>
        <w:rPr>
          <w:b/>
        </w:rPr>
      </w:pPr>
    </w:p>
    <w:p w:rsidR="00A216AC" w:rsidRDefault="00A216AC" w:rsidP="00A216AC">
      <w:pPr>
        <w:rPr>
          <w:b/>
        </w:rPr>
      </w:pPr>
      <w:r>
        <w:rPr>
          <w:b/>
        </w:rPr>
        <w:lastRenderedPageBreak/>
        <w:t>Management P</w:t>
      </w:r>
      <w:r w:rsidRPr="0096443F">
        <w:rPr>
          <w:b/>
        </w:rPr>
        <w:t>ractices for S</w:t>
      </w:r>
      <w:r w:rsidR="00DA6BE0">
        <w:rPr>
          <w:b/>
        </w:rPr>
        <w:t>ugarcane Aphid (S</w:t>
      </w:r>
      <w:r w:rsidRPr="0096443F">
        <w:rPr>
          <w:b/>
        </w:rPr>
        <w:t>CA</w:t>
      </w:r>
      <w:r w:rsidR="00DA6BE0">
        <w:rPr>
          <w:b/>
        </w:rPr>
        <w:t>)</w:t>
      </w:r>
    </w:p>
    <w:p w:rsidR="00A216AC" w:rsidRDefault="00D250A5" w:rsidP="000E3D1F">
      <w:pPr>
        <w:spacing w:after="0" w:line="240" w:lineRule="auto"/>
        <w:rPr>
          <w:b/>
        </w:rPr>
      </w:pPr>
      <w:r>
        <w:rPr>
          <w:b/>
        </w:rPr>
        <w:t xml:space="preserve">Plant early to </w:t>
      </w:r>
      <w:r>
        <w:t>avoid very large infestations before heading and grain fill</w:t>
      </w:r>
      <w:r w:rsidR="00AB27BC">
        <w:t xml:space="preserve">.  </w:t>
      </w:r>
    </w:p>
    <w:p w:rsidR="00FF153D" w:rsidRDefault="00FF153D" w:rsidP="000E3D1F">
      <w:pPr>
        <w:spacing w:after="0" w:line="240" w:lineRule="auto"/>
      </w:pPr>
      <w:r>
        <w:rPr>
          <w:b/>
        </w:rPr>
        <w:t>Plant a tolerant Variety</w:t>
      </w:r>
      <w:r w:rsidRPr="00FF153D">
        <w:t xml:space="preserve">. </w:t>
      </w:r>
      <w:r>
        <w:t xml:space="preserve"> </w:t>
      </w:r>
      <w:r w:rsidRPr="00FF153D">
        <w:t>Some hybrids have been shown to have tolerance</w:t>
      </w:r>
      <w:r w:rsidR="002910F5">
        <w:t xml:space="preserve"> and partial </w:t>
      </w:r>
      <w:r>
        <w:t>resistance</w:t>
      </w:r>
      <w:r w:rsidRPr="00FF153D">
        <w:t xml:space="preserve"> to the aphid.</w:t>
      </w:r>
      <w:r>
        <w:t xml:space="preserve">  </w:t>
      </w:r>
      <w:r w:rsidR="00316D2F">
        <w:t xml:space="preserve">But all tolerant variety may still have aphid infestations and need to be monitored and treated if infestations exceed treatment threshold listed below.  </w:t>
      </w:r>
      <w:r w:rsidR="000E3D1F">
        <w:t>Tolerant grain types</w:t>
      </w:r>
      <w:r w:rsidR="00316D2F">
        <w:t xml:space="preserve"> </w:t>
      </w:r>
      <w:r w:rsidR="000E3D1F">
        <w:t>are listed:</w:t>
      </w:r>
    </w:p>
    <w:tbl>
      <w:tblPr>
        <w:tblW w:w="9195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19"/>
        <w:gridCol w:w="1329"/>
        <w:gridCol w:w="1937"/>
        <w:gridCol w:w="2340"/>
      </w:tblGrid>
      <w:tr w:rsidR="00115054" w:rsidRPr="00E41906" w:rsidTr="00477CD5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1906" w:rsidRPr="00E41906" w:rsidRDefault="00115054" w:rsidP="001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1906" w:rsidRPr="00E41906" w:rsidRDefault="00115054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1906" w:rsidRPr="00E41906" w:rsidRDefault="00316D2F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Maturity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1906" w:rsidRPr="00E41906" w:rsidRDefault="00115054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SCA </w:t>
            </w:r>
            <w:r w:rsidR="00834E77" w:rsidRPr="00E41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1906" w:rsidRPr="00E41906" w:rsidRDefault="00115054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Comment</w:t>
            </w:r>
          </w:p>
        </w:tc>
      </w:tr>
      <w:tr w:rsidR="00115054" w:rsidRPr="00E41906" w:rsidTr="00477CD5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E93447" w:rsidP="001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Alta Seeds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1906" w:rsidRPr="000E3D1F" w:rsidRDefault="00E93447" w:rsidP="00EE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EE2C10" w:rsidRPr="000E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115054" w:rsidRPr="000E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316D2F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Med-Early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B8647A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Fair-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E41906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054" w:rsidRPr="00E41906" w:rsidTr="00477CD5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E93447" w:rsidP="001A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Alta Seeds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1906" w:rsidRPr="000E3D1F" w:rsidRDefault="00E93447" w:rsidP="00EE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EE2C10" w:rsidRPr="000E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115054" w:rsidRPr="000E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EE2C10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Med-Early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115054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E41906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EA0" w:rsidRPr="00E41906" w:rsidTr="001A62AC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7EA0" w:rsidRPr="000E3D1F" w:rsidRDefault="00417EA0" w:rsidP="0041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Alta Seeds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17EA0" w:rsidRPr="000E3D1F" w:rsidRDefault="00417EA0" w:rsidP="0041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 G3247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7EA0" w:rsidRPr="000E3D1F" w:rsidRDefault="00417EA0" w:rsidP="0041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Med-Early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7EA0" w:rsidRPr="000E3D1F" w:rsidRDefault="00417EA0" w:rsidP="0041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7EA0" w:rsidRPr="000E3D1F" w:rsidRDefault="00417EA0" w:rsidP="0041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054" w:rsidRPr="00E41906" w:rsidTr="00477CD5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054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Dekalb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1906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DKS 3707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EE2C10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Medium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115054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E41906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054" w:rsidRPr="00E41906" w:rsidTr="00477CD5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054" w:rsidRPr="000E3D1F" w:rsidRDefault="00E93447" w:rsidP="0011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Dekalb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1906" w:rsidRPr="000E3D1F" w:rsidRDefault="00E93447" w:rsidP="0011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DKS 2907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316D2F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Early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115054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Fair-Good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115054" w:rsidP="0031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Cream </w:t>
            </w:r>
            <w:r w:rsidR="002910F5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colored </w:t>
            </w: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seed</w:t>
            </w:r>
          </w:p>
        </w:tc>
      </w:tr>
      <w:tr w:rsidR="00115054" w:rsidRPr="00E41906" w:rsidTr="00477CD5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054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Dyna-Gro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1906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M74GB17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316D2F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Med-Full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115054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E41906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054" w:rsidRPr="00E41906" w:rsidTr="00477CD5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054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Dyna-Gro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1906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M73GR55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316D2F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Med-Full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115054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E41906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47A" w:rsidRPr="00E41906" w:rsidTr="00477CD5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47A" w:rsidRPr="000E3D1F" w:rsidRDefault="00B8647A" w:rsidP="00B8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Pioneer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8647A" w:rsidRPr="000E3D1F" w:rsidRDefault="00B8647A" w:rsidP="00B8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86P20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47A" w:rsidRPr="000E3D1F" w:rsidRDefault="00B8647A" w:rsidP="00B8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Med-Full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47A" w:rsidRPr="000E3D1F" w:rsidRDefault="00B8647A" w:rsidP="00B8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647A" w:rsidRPr="000E3D1F" w:rsidRDefault="00B8647A" w:rsidP="00B8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054" w:rsidRPr="00E41906" w:rsidTr="00477CD5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054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Pioneer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1906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83P17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316D2F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Med-Full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115054" w:rsidP="00B8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115054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15054" w:rsidRPr="00E41906" w:rsidTr="00477CD5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054" w:rsidRPr="000E3D1F" w:rsidRDefault="00E93447" w:rsidP="0011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Sorghum Partners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1906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SP73B12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316D2F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Med-Full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115054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E41906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054" w:rsidRPr="00E41906" w:rsidTr="00477CD5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054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Sorghum Partners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1906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SP78M30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316D2F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Med-Full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115054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E41906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054" w:rsidRPr="00E41906" w:rsidTr="00477CD5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054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Sorghum Partners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1906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SP7715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316D2F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Med-Full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115054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906" w:rsidRPr="000E3D1F" w:rsidRDefault="00E41906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054" w:rsidRPr="00E41906" w:rsidTr="00477CD5">
        <w:trPr>
          <w:tblCellSpacing w:w="0" w:type="dxa"/>
        </w:trPr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054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Warner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15054" w:rsidRPr="000E3D1F" w:rsidRDefault="00E93447" w:rsidP="00E4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5054" w:rsidRPr="000E3D1F">
              <w:rPr>
                <w:rFonts w:ascii="Times New Roman" w:eastAsia="Times New Roman" w:hAnsi="Times New Roman" w:cs="Times New Roman"/>
                <w:sz w:val="20"/>
                <w:szCs w:val="20"/>
              </w:rPr>
              <w:t>W-7051</w:t>
            </w:r>
          </w:p>
        </w:tc>
        <w:tc>
          <w:tcPr>
            <w:tcW w:w="1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5054" w:rsidRPr="000E3D1F" w:rsidRDefault="00316D2F" w:rsidP="008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5054" w:rsidRPr="000E3D1F" w:rsidRDefault="00115054" w:rsidP="00E4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5054" w:rsidRPr="000E3D1F" w:rsidRDefault="00115054" w:rsidP="00316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E3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Tall</w:t>
            </w:r>
          </w:p>
        </w:tc>
      </w:tr>
    </w:tbl>
    <w:p w:rsidR="000E3D1F" w:rsidRDefault="000E3D1F" w:rsidP="000E3D1F">
      <w:pPr>
        <w:spacing w:after="0" w:line="240" w:lineRule="auto"/>
        <w:rPr>
          <w:b/>
        </w:rPr>
      </w:pPr>
    </w:p>
    <w:p w:rsidR="000E3D1F" w:rsidRDefault="000E3D1F" w:rsidP="000E3D1F">
      <w:pPr>
        <w:spacing w:after="0" w:line="240" w:lineRule="auto"/>
      </w:pPr>
      <w:r>
        <w:rPr>
          <w:b/>
        </w:rPr>
        <w:t>A</w:t>
      </w:r>
      <w:r w:rsidR="006676B7" w:rsidRPr="0034076A">
        <w:rPr>
          <w:b/>
        </w:rPr>
        <w:t>n insecticide seed treatment</w:t>
      </w:r>
      <w:r>
        <w:t xml:space="preserve"> </w:t>
      </w:r>
      <w:r w:rsidR="006676B7">
        <w:t>limit</w:t>
      </w:r>
      <w:r w:rsidR="00834E77">
        <w:t>s</w:t>
      </w:r>
      <w:r w:rsidR="006676B7">
        <w:t xml:space="preserve"> seedling infestations for 30 – </w:t>
      </w:r>
      <w:r w:rsidR="00DA6BE0">
        <w:t>35</w:t>
      </w:r>
      <w:r w:rsidR="006676B7">
        <w:t xml:space="preserve"> days after planting.   All registered neonicotinoid insecticides are effective</w:t>
      </w:r>
      <w:r w:rsidR="0081247D">
        <w:t>;</w:t>
      </w:r>
      <w:r w:rsidR="00A216AC">
        <w:t xml:space="preserve"> </w:t>
      </w:r>
      <w:r w:rsidR="006676B7">
        <w:t>thiamethoxam (Cruiser), clothianidin (</w:t>
      </w:r>
      <w:r w:rsidR="0038264A">
        <w:t xml:space="preserve">Poncho, </w:t>
      </w:r>
      <w:r w:rsidR="006676B7">
        <w:t>NIpsIt Inside)</w:t>
      </w:r>
      <w:r w:rsidR="0081247D">
        <w:t>,</w:t>
      </w:r>
      <w:r w:rsidR="006676B7">
        <w:t xml:space="preserve"> and imidacloprid (Gaucho</w:t>
      </w:r>
      <w:r w:rsidR="0038264A">
        <w:t>,</w:t>
      </w:r>
      <w:r w:rsidR="006676B7">
        <w:t xml:space="preserve"> others).  </w:t>
      </w:r>
      <w:r w:rsidR="00CC750B">
        <w:t xml:space="preserve">Most useful on susceptible hybrids planted late. </w:t>
      </w:r>
      <w:r w:rsidR="006676B7">
        <w:t xml:space="preserve"> </w:t>
      </w:r>
    </w:p>
    <w:p w:rsidR="004C24FD" w:rsidRDefault="006676B7" w:rsidP="000E3D1F">
      <w:pPr>
        <w:spacing w:after="0" w:line="240" w:lineRule="auto"/>
      </w:pPr>
      <w:r w:rsidRPr="0034076A">
        <w:rPr>
          <w:b/>
        </w:rPr>
        <w:t>Scout early and</w:t>
      </w:r>
      <w:r w:rsidR="00D250A5">
        <w:rPr>
          <w:b/>
        </w:rPr>
        <w:t xml:space="preserve"> t</w:t>
      </w:r>
      <w:r w:rsidR="004C24FD" w:rsidRPr="0034076A">
        <w:rPr>
          <w:b/>
        </w:rPr>
        <w:t>reat when aphids reach threshold levels</w:t>
      </w:r>
      <w:r w:rsidR="004C24FD">
        <w:t xml:space="preserve">.  </w:t>
      </w:r>
      <w:r w:rsidR="000A4F7B">
        <w:t xml:space="preserve">The current </w:t>
      </w:r>
      <w:r w:rsidR="004C24FD">
        <w:t xml:space="preserve">threshold is </w:t>
      </w:r>
      <w:r w:rsidR="000A4F7B" w:rsidRPr="000A4F7B">
        <w:rPr>
          <w:b/>
        </w:rPr>
        <w:t xml:space="preserve">50 or more aphids per leaf on </w:t>
      </w:r>
      <w:r w:rsidR="004C24FD" w:rsidRPr="000A4F7B">
        <w:rPr>
          <w:b/>
        </w:rPr>
        <w:t>2</w:t>
      </w:r>
      <w:r w:rsidR="003C7DF3" w:rsidRPr="000A4F7B">
        <w:rPr>
          <w:b/>
        </w:rPr>
        <w:t>5</w:t>
      </w:r>
      <w:r w:rsidR="004C24FD" w:rsidRPr="000A4F7B">
        <w:rPr>
          <w:b/>
        </w:rPr>
        <w:t xml:space="preserve">% </w:t>
      </w:r>
      <w:r w:rsidR="000A4F7B" w:rsidRPr="000A4F7B">
        <w:rPr>
          <w:b/>
        </w:rPr>
        <w:t>pf plants</w:t>
      </w:r>
      <w:r w:rsidR="000A4F7B">
        <w:t xml:space="preserve"> p</w:t>
      </w:r>
      <w:r w:rsidR="003C7DF3">
        <w:t xml:space="preserve">reboot stage </w:t>
      </w:r>
      <w:r w:rsidR="004C24FD">
        <w:t xml:space="preserve">through dough stage.  </w:t>
      </w:r>
      <w:r w:rsidR="006327A9">
        <w:t xml:space="preserve">Once threshold is reach do not delay application because infestations can </w:t>
      </w:r>
      <w:r w:rsidR="000E3D1F">
        <w:t xml:space="preserve">increase </w:t>
      </w:r>
      <w:r w:rsidR="006327A9">
        <w:t>very quickly</w:t>
      </w:r>
      <w:r w:rsidR="000E3D1F">
        <w:t xml:space="preserve"> </w:t>
      </w:r>
      <w:r w:rsidR="006327A9">
        <w:t xml:space="preserve">   </w:t>
      </w:r>
    </w:p>
    <w:p w:rsidR="0013588E" w:rsidRDefault="006327A9" w:rsidP="000E3D1F">
      <w:pPr>
        <w:spacing w:after="0" w:line="240" w:lineRule="auto"/>
      </w:pPr>
      <w:r w:rsidRPr="0034076A">
        <w:rPr>
          <w:b/>
        </w:rPr>
        <w:t>Use an effective insecticide</w:t>
      </w:r>
      <w:r>
        <w:t xml:space="preserve">.  PYRETHROID INSECTICIDES ARE NOT EFFECTIVE and may flare infestations by killing all the aphid predators. </w:t>
      </w:r>
      <w:r w:rsidR="0034076A">
        <w:t xml:space="preserve"> </w:t>
      </w:r>
      <w:r w:rsidR="0013588E">
        <w:t xml:space="preserve">Foliar insecticide options </w:t>
      </w:r>
      <w:r w:rsidR="009529F2">
        <w:t xml:space="preserve">for SCA </w:t>
      </w:r>
      <w:r w:rsidR="00F020E1">
        <w:t xml:space="preserve">in Georgia </w:t>
      </w:r>
      <w:r w:rsidR="0013588E">
        <w:t>are:</w:t>
      </w:r>
    </w:p>
    <w:p w:rsidR="000A4F7B" w:rsidRDefault="000A4F7B" w:rsidP="000E3D1F">
      <w:pPr>
        <w:pStyle w:val="ListParagraph"/>
        <w:numPr>
          <w:ilvl w:val="0"/>
          <w:numId w:val="1"/>
        </w:numPr>
        <w:spacing w:after="0" w:line="240" w:lineRule="auto"/>
      </w:pPr>
      <w:r w:rsidRPr="00F020E1">
        <w:rPr>
          <w:b/>
        </w:rPr>
        <w:t xml:space="preserve">Sivanto </w:t>
      </w:r>
      <w:r w:rsidR="0020451F">
        <w:rPr>
          <w:b/>
        </w:rPr>
        <w:t>p</w:t>
      </w:r>
      <w:r w:rsidRPr="00F020E1">
        <w:rPr>
          <w:b/>
        </w:rPr>
        <w:t>rime</w:t>
      </w:r>
      <w:r>
        <w:t xml:space="preserve"> (Bayer Crop Protection)</w:t>
      </w:r>
      <w:r w:rsidR="000E3D1F">
        <w:t xml:space="preserve"> @ 4 to 10 fl. oz</w:t>
      </w:r>
      <w:r w:rsidR="0020451F">
        <w:t>.</w:t>
      </w:r>
      <w:r w:rsidR="000E3D1F">
        <w:t xml:space="preserve"> per acre. </w:t>
      </w:r>
      <w:r>
        <w:t>Sivanto</w:t>
      </w:r>
      <w:r w:rsidR="000E3D1F">
        <w:t xml:space="preserve"> </w:t>
      </w:r>
      <w:r w:rsidR="00AB27BC">
        <w:t xml:space="preserve">prime </w:t>
      </w:r>
      <w:r w:rsidR="000E3D1F">
        <w:t>at 4-5 fl. oz.</w:t>
      </w:r>
      <w:r>
        <w:t xml:space="preserve"> </w:t>
      </w:r>
      <w:r w:rsidR="000E3D1F">
        <w:t xml:space="preserve">provides </w:t>
      </w:r>
      <w:r w:rsidR="00834E77">
        <w:t>c</w:t>
      </w:r>
      <w:r w:rsidR="00AA32CE">
        <w:t xml:space="preserve">ontrol </w:t>
      </w:r>
      <w:r>
        <w:t xml:space="preserve">usually </w:t>
      </w:r>
      <w:r w:rsidR="00AA32CE">
        <w:t xml:space="preserve">lasting </w:t>
      </w:r>
      <w:r>
        <w:t xml:space="preserve">21 days or more.  </w:t>
      </w:r>
      <w:r w:rsidR="000E3D1F">
        <w:t xml:space="preserve">PHI = </w:t>
      </w:r>
      <w:r>
        <w:t>21 day</w:t>
      </w:r>
      <w:r w:rsidR="000E3D1F">
        <w:t>s.</w:t>
      </w:r>
      <w:r>
        <w:t xml:space="preserve"> </w:t>
      </w:r>
      <w:r w:rsidR="00AA32CE">
        <w:t xml:space="preserve"> </w:t>
      </w:r>
    </w:p>
    <w:p w:rsidR="0013588E" w:rsidRDefault="0013588E" w:rsidP="00344B20">
      <w:pPr>
        <w:pStyle w:val="ListParagraph"/>
        <w:numPr>
          <w:ilvl w:val="0"/>
          <w:numId w:val="1"/>
        </w:numPr>
        <w:spacing w:after="0" w:line="240" w:lineRule="auto"/>
      </w:pPr>
      <w:r w:rsidRPr="001054C4">
        <w:rPr>
          <w:b/>
        </w:rPr>
        <w:t>Transform WG</w:t>
      </w:r>
      <w:r w:rsidR="000E3D1F">
        <w:t xml:space="preserve"> (Dow AgroSciences) @ 0.75 to 1.5 oz</w:t>
      </w:r>
      <w:r w:rsidR="0020451F">
        <w:t>.</w:t>
      </w:r>
      <w:r w:rsidR="000E3D1F">
        <w:t xml:space="preserve"> per acre.  </w:t>
      </w:r>
      <w:r w:rsidR="00D250A5">
        <w:t xml:space="preserve">2 applications per season. PHI = 14 days. </w:t>
      </w:r>
      <w:r w:rsidR="000E3D1F">
        <w:t xml:space="preserve">Use </w:t>
      </w:r>
      <w:r w:rsidR="006327A9">
        <w:t>rates of 1.0 and 1.5 oz</w:t>
      </w:r>
      <w:r w:rsidR="0020451F">
        <w:t>.</w:t>
      </w:r>
      <w:r w:rsidR="006327A9">
        <w:t xml:space="preserve"> per acre</w:t>
      </w:r>
      <w:r w:rsidR="0020451F">
        <w:t>,</w:t>
      </w:r>
      <w:r w:rsidR="006327A9">
        <w:t xml:space="preserve"> </w:t>
      </w:r>
      <w:r w:rsidR="000E3D1F">
        <w:t>but u</w:t>
      </w:r>
      <w:r w:rsidR="0034076A">
        <w:t>se the 1.5 oz</w:t>
      </w:r>
      <w:r w:rsidR="0020451F">
        <w:t>.</w:t>
      </w:r>
      <w:r w:rsidR="0034076A">
        <w:t xml:space="preserve"> rate if aphid population</w:t>
      </w:r>
      <w:r w:rsidR="00337093">
        <w:t>s</w:t>
      </w:r>
      <w:r w:rsidR="0034076A">
        <w:t xml:space="preserve"> are increasing rapidly. </w:t>
      </w:r>
      <w:r w:rsidR="006327A9">
        <w:t xml:space="preserve"> </w:t>
      </w:r>
      <w:r w:rsidR="001054C4">
        <w:t xml:space="preserve">A Section 18 emergency exception has been requested for Transform WG use on sorghum in Georgia in 201(. </w:t>
      </w:r>
      <w:r w:rsidR="00D250A5" w:rsidRPr="001054C4">
        <w:rPr>
          <w:b/>
        </w:rPr>
        <w:t>Transform cannot be used during bloom.</w:t>
      </w:r>
    </w:p>
    <w:p w:rsidR="0020451F" w:rsidRDefault="0013588E" w:rsidP="000E3D1F">
      <w:pPr>
        <w:pStyle w:val="ListParagraph"/>
        <w:numPr>
          <w:ilvl w:val="0"/>
          <w:numId w:val="1"/>
        </w:numPr>
        <w:spacing w:after="0" w:line="240" w:lineRule="auto"/>
      </w:pPr>
      <w:r w:rsidRPr="00F020E1">
        <w:rPr>
          <w:b/>
        </w:rPr>
        <w:t>Chlo</w:t>
      </w:r>
      <w:r w:rsidR="0020451F">
        <w:rPr>
          <w:b/>
        </w:rPr>
        <w:t>r</w:t>
      </w:r>
      <w:r w:rsidRPr="00F020E1">
        <w:rPr>
          <w:b/>
        </w:rPr>
        <w:t xml:space="preserve">pyrifos </w:t>
      </w:r>
      <w:r w:rsidR="00D250A5">
        <w:t>(Lorsban Advanced, Nufos, other</w:t>
      </w:r>
      <w:r w:rsidR="00DA6BE0">
        <w:t xml:space="preserve">) </w:t>
      </w:r>
      <w:r w:rsidR="00D250A5">
        <w:t>@ 1-2 p</w:t>
      </w:r>
      <w:r w:rsidR="0020451F">
        <w:t>in</w:t>
      </w:r>
      <w:r w:rsidR="00D250A5">
        <w:t>t per acre. Use</w:t>
      </w:r>
      <w:r>
        <w:t xml:space="preserve"> </w:t>
      </w:r>
      <w:r w:rsidR="0081247D">
        <w:t>2-pint</w:t>
      </w:r>
      <w:r>
        <w:t xml:space="preserve"> rate </w:t>
      </w:r>
      <w:r w:rsidR="00D250A5">
        <w:t xml:space="preserve">which gives </w:t>
      </w:r>
      <w:r w:rsidR="000A4F7B">
        <w:t>60</w:t>
      </w:r>
      <w:r>
        <w:t xml:space="preserve">-90% </w:t>
      </w:r>
      <w:r w:rsidR="000A4F7B">
        <w:t xml:space="preserve">control for </w:t>
      </w:r>
      <w:r w:rsidR="00834E77">
        <w:t xml:space="preserve">about 7-10 days.  </w:t>
      </w:r>
      <w:r w:rsidR="000A4F7B">
        <w:t>At the 2 pint rate it can</w:t>
      </w:r>
      <w:r>
        <w:t xml:space="preserve">not be used after the boot stage due </w:t>
      </w:r>
      <w:r w:rsidR="0020451F">
        <w:t xml:space="preserve">PHI = </w:t>
      </w:r>
      <w:r>
        <w:t>60 day</w:t>
      </w:r>
      <w:r w:rsidR="0020451F">
        <w:t>s</w:t>
      </w:r>
      <w:r>
        <w:t xml:space="preserve">. </w:t>
      </w:r>
      <w:r w:rsidR="0020451F">
        <w:t xml:space="preserve"> </w:t>
      </w:r>
    </w:p>
    <w:p w:rsidR="0013588E" w:rsidRDefault="006C32FC" w:rsidP="0020451F">
      <w:pPr>
        <w:pStyle w:val="ListParagraph"/>
        <w:spacing w:after="0" w:line="240" w:lineRule="auto"/>
        <w:ind w:left="360"/>
      </w:pPr>
      <w:r>
        <w:t>DO NOT USE CHLORPYRIFOS ON SWEET SORGHUM.</w:t>
      </w:r>
    </w:p>
    <w:p w:rsidR="009529F2" w:rsidRDefault="009529F2" w:rsidP="000E3D1F">
      <w:pPr>
        <w:spacing w:after="0" w:line="240" w:lineRule="auto"/>
      </w:pPr>
      <w:r w:rsidRPr="0034076A">
        <w:rPr>
          <w:b/>
        </w:rPr>
        <w:t xml:space="preserve">Good coverage is </w:t>
      </w:r>
      <w:r w:rsidR="009B292A">
        <w:rPr>
          <w:b/>
        </w:rPr>
        <w:t xml:space="preserve">important for </w:t>
      </w:r>
      <w:r w:rsidRPr="0034076A">
        <w:rPr>
          <w:b/>
        </w:rPr>
        <w:t>effective control</w:t>
      </w:r>
      <w:r>
        <w:t>.  Use tips and GPA for maximum coverage especially lower in the canopy.</w:t>
      </w:r>
      <w:r w:rsidR="00834E77">
        <w:t xml:space="preserve"> </w:t>
      </w:r>
      <w:r>
        <w:t xml:space="preserve"> A minimum of 10 gpa by ground and 5 gpa by air is </w:t>
      </w:r>
      <w:r w:rsidR="0096443F">
        <w:t xml:space="preserve">highly </w:t>
      </w:r>
      <w:r>
        <w:t xml:space="preserve">recommended. </w:t>
      </w:r>
    </w:p>
    <w:p w:rsidR="00B12E5F" w:rsidRDefault="00B12E5F" w:rsidP="000E3D1F">
      <w:pPr>
        <w:spacing w:after="0" w:line="240" w:lineRule="auto"/>
      </w:pPr>
      <w:r w:rsidRPr="0034076A">
        <w:rPr>
          <w:b/>
        </w:rPr>
        <w:t>Check fields before harvest for infestations</w:t>
      </w:r>
      <w:r>
        <w:t>. A treatment may be needed if large numbers are in the hea</w:t>
      </w:r>
      <w:r w:rsidR="002E1486">
        <w:t xml:space="preserve">d to prevent interference with harvest and </w:t>
      </w:r>
      <w:r w:rsidR="002E1486" w:rsidRPr="002E1486">
        <w:t>damage to combines</w:t>
      </w:r>
      <w:r w:rsidR="002E1486">
        <w:t xml:space="preserve">. </w:t>
      </w:r>
      <w:r>
        <w:t xml:space="preserve">Transform WG can be applied up to 14 days before harvest. </w:t>
      </w:r>
      <w:r w:rsidR="006C32FC">
        <w:t xml:space="preserve"> </w:t>
      </w:r>
    </w:p>
    <w:p w:rsidR="00212B2E" w:rsidRDefault="00ED167F" w:rsidP="000E3D1F">
      <w:pPr>
        <w:spacing w:after="0" w:line="240" w:lineRule="auto"/>
      </w:pPr>
      <w:r w:rsidRPr="00ED167F">
        <w:rPr>
          <w:b/>
        </w:rPr>
        <w:t>Silage/forage sorghum control.</w:t>
      </w:r>
      <w:r>
        <w:t xml:space="preserve">  </w:t>
      </w:r>
      <w:r w:rsidR="00FA03FD">
        <w:t>Currently we are using similar recommendations for silage and forage sorghum as for grain sorghum.  Only a small number of forage/silage types have some tolerance to SCA as summarized by Dr. Dennis Hancock</w:t>
      </w:r>
      <w:r w:rsidR="009B292A">
        <w:t xml:space="preserve"> (UGA forage agronomist)</w:t>
      </w:r>
      <w:r w:rsidR="000F2435">
        <w:t xml:space="preserve"> (next table) </w:t>
      </w:r>
      <w:r w:rsidR="00FA03FD">
        <w:t xml:space="preserve">: </w:t>
      </w:r>
      <w:r w:rsidR="00AF0572">
        <w:t xml:space="preserve"> </w:t>
      </w:r>
      <w:hyperlink r:id="rId13" w:history="1">
        <w:r w:rsidR="0020451F" w:rsidRPr="000E5DCB">
          <w:rPr>
            <w:rStyle w:val="Hyperlink"/>
          </w:rPr>
          <w:t>http://www.caes.uga.edu/extension-outreach/commodities/forages/species-and-varieties/warm-season/sorghums.html</w:t>
        </w:r>
      </w:hyperlink>
    </w:p>
    <w:p w:rsidR="00ED167F" w:rsidRDefault="00F6164B" w:rsidP="000E3D1F">
      <w:pPr>
        <w:spacing w:after="0" w:line="240" w:lineRule="auto"/>
      </w:pPr>
      <w:r>
        <w:t>Both Sivanto prime and Transform can be used on silage and forage type sorghums.  Grazing</w:t>
      </w:r>
      <w:r w:rsidR="0038264A">
        <w:t xml:space="preserve"> / hay interval</w:t>
      </w:r>
      <w:r>
        <w:t xml:space="preserve"> is 7 days for both products.</w:t>
      </w:r>
      <w:r w:rsidR="002910F5">
        <w:t xml:space="preserve"> </w:t>
      </w:r>
      <w:r w:rsidR="007E172E">
        <w:t xml:space="preserve"> </w:t>
      </w:r>
      <w:r>
        <w:t>Spray coverage is difficult when plants get tall. If aphids are present but below threshold consider a spray application as late as possible before the crop gets too tall.</w:t>
      </w:r>
    </w:p>
    <w:p w:rsidR="00EA0827" w:rsidRDefault="00F6164B" w:rsidP="000E3D1F">
      <w:pPr>
        <w:spacing w:after="0" w:line="240" w:lineRule="auto"/>
      </w:pPr>
      <w:r w:rsidRPr="00F6164B">
        <w:rPr>
          <w:b/>
        </w:rPr>
        <w:t>Sweet sorghum.</w:t>
      </w:r>
      <w:r>
        <w:t xml:space="preserve"> Transform </w:t>
      </w:r>
      <w:r w:rsidR="00FA03FD">
        <w:t xml:space="preserve">WG </w:t>
      </w:r>
      <w:r>
        <w:t xml:space="preserve">and chlorpyrifos </w:t>
      </w:r>
      <w:r w:rsidRPr="00F6164B">
        <w:rPr>
          <w:b/>
        </w:rPr>
        <w:t>cannot</w:t>
      </w:r>
      <w:r>
        <w:t xml:space="preserve"> be used on sweet sorghum.  </w:t>
      </w:r>
      <w:r w:rsidR="00FA03FD">
        <w:t xml:space="preserve">A Section 18 label </w:t>
      </w:r>
      <w:r w:rsidR="001054C4">
        <w:t xml:space="preserve">has been requested </w:t>
      </w:r>
      <w:r w:rsidR="00FA03FD">
        <w:t xml:space="preserve">for use of Sivanto prime on sweet sorghum in </w:t>
      </w:r>
      <w:r w:rsidR="002910F5">
        <w:t xml:space="preserve">Georgia in </w:t>
      </w:r>
      <w:r w:rsidR="00FA03FD">
        <w:t>201</w:t>
      </w:r>
      <w:r w:rsidR="00516561">
        <w:t>9</w:t>
      </w:r>
      <w:r w:rsidR="00A216AC">
        <w:t xml:space="preserve">. </w:t>
      </w:r>
    </w:p>
    <w:p w:rsidR="00EA0827" w:rsidRDefault="00EA0827">
      <w:r>
        <w:br w:type="page"/>
      </w:r>
    </w:p>
    <w:p w:rsidR="003D5FFE" w:rsidRDefault="003D5FFE" w:rsidP="000E3D1F">
      <w:pPr>
        <w:spacing w:after="0" w:line="240" w:lineRule="auto"/>
      </w:pPr>
    </w:p>
    <w:p w:rsidR="00EA0827" w:rsidRDefault="00EA0827" w:rsidP="00EA0827">
      <w:pPr>
        <w:spacing w:after="0" w:line="240" w:lineRule="auto"/>
        <w:rPr>
          <w:rFonts w:ascii="Helvetica" w:eastAsia="Times New Roman" w:hAnsi="Helvetica" w:cs="Helvetica"/>
          <w:b/>
          <w:bCs/>
          <w:color w:val="3E3E3E"/>
        </w:rPr>
        <w:sectPr w:rsidR="00EA0827" w:rsidSect="00EA0827">
          <w:pgSz w:w="12240" w:h="15840"/>
          <w:pgMar w:top="1008" w:right="1008" w:bottom="576" w:left="1008" w:header="720" w:footer="720" w:gutter="0"/>
          <w:cols w:space="720"/>
          <w:docGrid w:linePitch="360"/>
        </w:sectPr>
      </w:pPr>
    </w:p>
    <w:p w:rsidR="00EA0827" w:rsidRPr="00EA0827" w:rsidRDefault="00EA0827" w:rsidP="00EA0827">
      <w:pPr>
        <w:spacing w:after="0" w:line="240" w:lineRule="auto"/>
        <w:rPr>
          <w:rFonts w:ascii="Helvetica" w:eastAsia="Times New Roman" w:hAnsi="Helvetica" w:cs="Helvetica"/>
          <w:color w:val="3E3E3E"/>
        </w:rPr>
      </w:pPr>
      <w:r w:rsidRPr="00EA0827">
        <w:rPr>
          <w:rFonts w:ascii="Helvetica" w:eastAsia="Times New Roman" w:hAnsi="Helvetica" w:cs="Helvetica"/>
          <w:b/>
          <w:bCs/>
          <w:color w:val="3E3E3E"/>
        </w:rPr>
        <w:lastRenderedPageBreak/>
        <w:t xml:space="preserve">Variety comparison among noteworthy sorghum x </w:t>
      </w:r>
      <w:proofErr w:type="spellStart"/>
      <w:r w:rsidRPr="00EA0827">
        <w:rPr>
          <w:rFonts w:ascii="Helvetica" w:eastAsia="Times New Roman" w:hAnsi="Helvetica" w:cs="Helvetica"/>
          <w:b/>
          <w:bCs/>
          <w:color w:val="3E3E3E"/>
        </w:rPr>
        <w:t>sudangrass</w:t>
      </w:r>
      <w:proofErr w:type="spellEnd"/>
      <w:r w:rsidRPr="00EA0827">
        <w:rPr>
          <w:rFonts w:ascii="Helvetica" w:eastAsia="Times New Roman" w:hAnsi="Helvetica" w:cs="Helvetica"/>
          <w:b/>
          <w:bCs/>
          <w:color w:val="3E3E3E"/>
        </w:rPr>
        <w:t xml:space="preserve"> hybrids</w:t>
      </w:r>
      <w:r w:rsidR="009F065A">
        <w:rPr>
          <w:rFonts w:ascii="Helvetica" w:eastAsia="Times New Roman" w:hAnsi="Helvetica" w:cs="Helvetica"/>
          <w:b/>
          <w:bCs/>
          <w:color w:val="3E3E3E"/>
        </w:rPr>
        <w:t>. 2018</w:t>
      </w:r>
      <w:r w:rsidRPr="00EA0827">
        <w:rPr>
          <w:rFonts w:ascii="Helvetica" w:eastAsia="Times New Roman" w:hAnsi="Helvetica" w:cs="Helvetica"/>
          <w:b/>
          <w:bCs/>
          <w:color w:val="3E3E3E"/>
        </w:rPr>
        <w:t>.</w:t>
      </w:r>
      <w:r w:rsidRPr="00EA0827">
        <w:rPr>
          <w:rFonts w:ascii="Helvetica" w:eastAsia="Times New Roman" w:hAnsi="Helvetica" w:cs="Helvetica"/>
          <w:b/>
          <w:bCs/>
          <w:color w:val="3E3E3E"/>
          <w:vertAlign w:val="superscript"/>
        </w:rPr>
        <w:t>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261"/>
        <w:gridCol w:w="1240"/>
        <w:gridCol w:w="1509"/>
        <w:gridCol w:w="2289"/>
        <w:gridCol w:w="1312"/>
      </w:tblGrid>
      <w:tr w:rsidR="009F065A" w:rsidRPr="00EA0827" w:rsidTr="009F065A"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E3E3E"/>
              </w:rPr>
            </w:pPr>
            <w:proofErr w:type="spellStart"/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Variety</w:t>
            </w: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  <w:vertAlign w:val="superscript"/>
              </w:rPr>
              <w:t>a</w:t>
            </w:r>
            <w:proofErr w:type="spellEnd"/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9F06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E3E3E"/>
              </w:rPr>
            </w:pPr>
            <w:proofErr w:type="spellStart"/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Region</w:t>
            </w: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  <w:vertAlign w:val="superscript"/>
              </w:rPr>
              <w:t>b</w:t>
            </w:r>
            <w:proofErr w:type="spellEnd"/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E3E3E"/>
              </w:rPr>
            </w:pPr>
            <w:proofErr w:type="spellStart"/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Yields</w:t>
            </w: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  <w:vertAlign w:val="superscript"/>
              </w:rPr>
              <w:t>c</w:t>
            </w:r>
            <w:proofErr w:type="spellEnd"/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 xml:space="preserve">SCA </w:t>
            </w:r>
            <w:proofErr w:type="spellStart"/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Tolerance</w:t>
            </w: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  <w:vertAlign w:val="superscript"/>
              </w:rPr>
              <w:t>d</w:t>
            </w:r>
            <w:proofErr w:type="spellEnd"/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Company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Com</w:t>
            </w:r>
            <w:r w:rsidR="009F065A">
              <w:rPr>
                <w:rFonts w:ascii="Helvetica" w:eastAsia="Times New Roman" w:hAnsi="Helvetica" w:cs="Helvetica"/>
                <w:b/>
                <w:bCs/>
                <w:color w:val="3E3E3E"/>
              </w:rPr>
              <w:t>-</w:t>
            </w:r>
            <w:proofErr w:type="spellStart"/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ments</w:t>
            </w: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  <w:vertAlign w:val="superscript"/>
              </w:rPr>
              <w:t>e</w:t>
            </w:r>
            <w:proofErr w:type="spellEnd"/>
          </w:p>
        </w:tc>
      </w:tr>
      <w:tr w:rsidR="009F065A" w:rsidRPr="00EA0827" w:rsidTr="009F065A">
        <w:trPr>
          <w:trHeight w:val="20"/>
        </w:trPr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AS5201</w:t>
            </w:r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S</w:t>
            </w:r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poor</w:t>
            </w:r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Alta Seeds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3</w:t>
            </w:r>
          </w:p>
        </w:tc>
      </w:tr>
      <w:tr w:rsidR="009F065A" w:rsidRPr="00EA0827" w:rsidTr="009F065A"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AS6401</w:t>
            </w:r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P</w:t>
            </w:r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poor</w:t>
            </w:r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Alta Seeds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3</w:t>
            </w:r>
          </w:p>
        </w:tc>
      </w:tr>
      <w:tr w:rsidR="009F065A" w:rsidRPr="00EA0827" w:rsidTr="009F065A"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AS6402</w:t>
            </w:r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P</w:t>
            </w:r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poor</w:t>
            </w:r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Alta Seeds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3</w:t>
            </w:r>
          </w:p>
        </w:tc>
      </w:tr>
      <w:tr w:rsidR="009F065A" w:rsidRPr="00EA0827" w:rsidTr="009F065A"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DSM 33-948</w:t>
            </w:r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CP</w:t>
            </w:r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Desert Sun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2</w:t>
            </w:r>
          </w:p>
        </w:tc>
      </w:tr>
      <w:tr w:rsidR="009F065A" w:rsidRPr="00EA0827" w:rsidTr="009F065A"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proofErr w:type="spellStart"/>
            <w:r w:rsidRPr="00EA0827">
              <w:rPr>
                <w:rFonts w:ascii="Helvetica" w:eastAsia="Times New Roman" w:hAnsi="Helvetica" w:cs="Helvetica"/>
                <w:color w:val="3E3E3E"/>
              </w:rPr>
              <w:t>FullGraze</w:t>
            </w:r>
            <w:proofErr w:type="spellEnd"/>
            <w:r w:rsidRPr="00EA0827">
              <w:rPr>
                <w:rFonts w:ascii="Helvetica" w:eastAsia="Times New Roman" w:hAnsi="Helvetica" w:cs="Helvetica"/>
                <w:color w:val="3E3E3E"/>
              </w:rPr>
              <w:t xml:space="preserve"> BMR</w:t>
            </w:r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CP</w:t>
            </w:r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Dyna-Gro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1</w:t>
            </w:r>
          </w:p>
        </w:tc>
      </w:tr>
      <w:tr w:rsidR="009F065A" w:rsidRPr="00EA0827" w:rsidTr="009F065A"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SDH 2942BMR</w:t>
            </w:r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P</w:t>
            </w:r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poor</w:t>
            </w:r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Sorghum Partners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3</w:t>
            </w:r>
          </w:p>
        </w:tc>
      </w:tr>
      <w:tr w:rsidR="009F065A" w:rsidRPr="00EA0827" w:rsidTr="009F065A"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Southern Star</w:t>
            </w:r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CP</w:t>
            </w:r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v. good</w:t>
            </w:r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Meherrin Ag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1</w:t>
            </w:r>
          </w:p>
        </w:tc>
      </w:tr>
      <w:tr w:rsidR="009F065A" w:rsidRPr="00EA0827" w:rsidTr="009F065A"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SOUTHERN SWEET</w:t>
            </w:r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CP</w:t>
            </w:r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fair</w:t>
            </w:r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Meherrin Ag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2</w:t>
            </w:r>
          </w:p>
        </w:tc>
      </w:tr>
      <w:tr w:rsidR="009F065A" w:rsidRPr="00EA0827" w:rsidTr="009F065A"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SP6205 BD</w:t>
            </w:r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CP</w:t>
            </w:r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Sorghum Partners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2</w:t>
            </w:r>
          </w:p>
        </w:tc>
      </w:tr>
      <w:tr w:rsidR="009F065A" w:rsidRPr="00EA0827" w:rsidTr="009F065A"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SS-220BMR</w:t>
            </w:r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S</w:t>
            </w:r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poor</w:t>
            </w:r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Southern States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3</w:t>
            </w:r>
          </w:p>
        </w:tc>
      </w:tr>
      <w:tr w:rsidR="009F065A" w:rsidRPr="00EA0827" w:rsidTr="009F065A"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Super Sugar</w:t>
            </w:r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S</w:t>
            </w:r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good</w:t>
            </w:r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good</w:t>
            </w:r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proofErr w:type="spellStart"/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Gayland</w:t>
            </w:r>
            <w:proofErr w:type="spellEnd"/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 xml:space="preserve"> Ward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3</w:t>
            </w:r>
          </w:p>
        </w:tc>
      </w:tr>
      <w:tr w:rsidR="009F065A" w:rsidRPr="00EA0827" w:rsidTr="009F065A"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Sweet Six BMR Dry Stalk</w:t>
            </w:r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S</w:t>
            </w:r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good</w:t>
            </w:r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poor</w:t>
            </w:r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proofErr w:type="spellStart"/>
            <w:r w:rsidRPr="00EA0827">
              <w:rPr>
                <w:rFonts w:ascii="Helvetica" w:eastAsia="Times New Roman" w:hAnsi="Helvetica" w:cs="Helvetica"/>
                <w:color w:val="3E3E3E"/>
              </w:rPr>
              <w:t>Gayland</w:t>
            </w:r>
            <w:proofErr w:type="spellEnd"/>
            <w:r w:rsidRPr="00EA0827">
              <w:rPr>
                <w:rFonts w:ascii="Helvetica" w:eastAsia="Times New Roman" w:hAnsi="Helvetica" w:cs="Helvetica"/>
                <w:color w:val="3E3E3E"/>
              </w:rPr>
              <w:t xml:space="preserve"> Ward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7F7F7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color w:val="3E3E3E"/>
              </w:rPr>
              <w:t>3</w:t>
            </w:r>
          </w:p>
        </w:tc>
      </w:tr>
      <w:tr w:rsidR="009F065A" w:rsidRPr="00EA0827" w:rsidTr="009F065A">
        <w:tc>
          <w:tcPr>
            <w:tcW w:w="1276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proofErr w:type="spellStart"/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XtraGraze</w:t>
            </w:r>
            <w:proofErr w:type="spellEnd"/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 xml:space="preserve"> BMR</w:t>
            </w:r>
          </w:p>
        </w:tc>
        <w:tc>
          <w:tcPr>
            <w:tcW w:w="61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P</w:t>
            </w:r>
          </w:p>
        </w:tc>
        <w:tc>
          <w:tcPr>
            <w:tcW w:w="607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good</w:t>
            </w:r>
          </w:p>
        </w:tc>
        <w:tc>
          <w:tcPr>
            <w:tcW w:w="738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good</w:t>
            </w:r>
          </w:p>
        </w:tc>
        <w:tc>
          <w:tcPr>
            <w:tcW w:w="112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Coffey</w:t>
            </w:r>
          </w:p>
        </w:tc>
        <w:tc>
          <w:tcPr>
            <w:tcW w:w="642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EA0827" w:rsidRPr="00EA0827" w:rsidRDefault="00EA0827" w:rsidP="00EA0827">
            <w:pPr>
              <w:spacing w:after="0" w:line="240" w:lineRule="auto"/>
              <w:rPr>
                <w:rFonts w:ascii="Helvetica" w:eastAsia="Times New Roman" w:hAnsi="Helvetica" w:cs="Helvetica"/>
                <w:color w:val="3E3E3E"/>
              </w:rPr>
            </w:pPr>
            <w:r w:rsidRPr="00EA0827">
              <w:rPr>
                <w:rFonts w:ascii="Helvetica" w:eastAsia="Times New Roman" w:hAnsi="Helvetica" w:cs="Helvetica"/>
                <w:b/>
                <w:bCs/>
                <w:color w:val="3E3E3E"/>
              </w:rPr>
              <w:t>3</w:t>
            </w:r>
          </w:p>
        </w:tc>
      </w:tr>
    </w:tbl>
    <w:p w:rsidR="00EA0827" w:rsidRPr="00EA0827" w:rsidRDefault="00EA0827" w:rsidP="00EA0827">
      <w:pPr>
        <w:numPr>
          <w:ilvl w:val="0"/>
          <w:numId w:val="2"/>
        </w:numPr>
        <w:spacing w:after="0" w:line="240" w:lineRule="auto"/>
        <w:ind w:left="240"/>
        <w:rPr>
          <w:rFonts w:ascii="Helvetica" w:eastAsia="Times New Roman" w:hAnsi="Helvetica" w:cs="Helvetica"/>
          <w:color w:val="3E3E3E"/>
          <w:sz w:val="16"/>
          <w:szCs w:val="16"/>
        </w:rPr>
      </w:pPr>
      <w:r w:rsidRPr="00EA0827">
        <w:rPr>
          <w:rFonts w:ascii="Helvetica" w:eastAsia="Times New Roman" w:hAnsi="Helvetica" w:cs="Helvetica"/>
          <w:color w:val="3E3E3E"/>
          <w:sz w:val="16"/>
          <w:szCs w:val="16"/>
          <w:vertAlign w:val="superscript"/>
        </w:rPr>
        <w:t xml:space="preserve">a </w:t>
      </w:r>
      <w:r w:rsidRPr="00EA0827">
        <w:rPr>
          <w:rFonts w:ascii="Helvetica" w:eastAsia="Times New Roman" w:hAnsi="Helvetica" w:cs="Helvetica"/>
          <w:color w:val="3E3E3E"/>
          <w:sz w:val="16"/>
          <w:szCs w:val="16"/>
        </w:rPr>
        <w:t xml:space="preserve">Bolded varieties meet the yield performance criteria yields greater than average for 3 </w:t>
      </w:r>
      <w:proofErr w:type="spellStart"/>
      <w:r w:rsidRPr="00EA0827">
        <w:rPr>
          <w:rFonts w:ascii="Helvetica" w:eastAsia="Times New Roman" w:hAnsi="Helvetica" w:cs="Helvetica"/>
          <w:color w:val="3E3E3E"/>
          <w:sz w:val="16"/>
          <w:szCs w:val="16"/>
        </w:rPr>
        <w:t>yrs</w:t>
      </w:r>
      <w:proofErr w:type="spellEnd"/>
      <w:r w:rsidRPr="00EA0827">
        <w:rPr>
          <w:rFonts w:ascii="Helvetica" w:eastAsia="Times New Roman" w:hAnsi="Helvetica" w:cs="Helvetica"/>
          <w:color w:val="3E3E3E"/>
          <w:sz w:val="16"/>
          <w:szCs w:val="16"/>
        </w:rPr>
        <w:t xml:space="preserve"> in the Statewide Variety Testing program) to be recommended by UGA and have at least a good tolerance to the sugarcane aphid (SCA).</w:t>
      </w:r>
    </w:p>
    <w:p w:rsidR="00EA0827" w:rsidRPr="00EA0827" w:rsidRDefault="00EA0827" w:rsidP="00EA0827">
      <w:pPr>
        <w:numPr>
          <w:ilvl w:val="0"/>
          <w:numId w:val="2"/>
        </w:numPr>
        <w:spacing w:after="0" w:line="240" w:lineRule="auto"/>
        <w:ind w:left="240"/>
        <w:rPr>
          <w:rFonts w:ascii="Helvetica" w:eastAsia="Times New Roman" w:hAnsi="Helvetica" w:cs="Helvetica"/>
          <w:color w:val="3E3E3E"/>
          <w:sz w:val="16"/>
          <w:szCs w:val="16"/>
        </w:rPr>
      </w:pPr>
      <w:r w:rsidRPr="00EA0827">
        <w:rPr>
          <w:rFonts w:ascii="Helvetica" w:eastAsia="Times New Roman" w:hAnsi="Helvetica" w:cs="Helvetica"/>
          <w:color w:val="3E3E3E"/>
          <w:sz w:val="16"/>
          <w:szCs w:val="16"/>
          <w:vertAlign w:val="superscript"/>
        </w:rPr>
        <w:t xml:space="preserve">b </w:t>
      </w:r>
      <w:r w:rsidRPr="00EA0827">
        <w:rPr>
          <w:rFonts w:ascii="Helvetica" w:eastAsia="Times New Roman" w:hAnsi="Helvetica" w:cs="Helvetica"/>
          <w:color w:val="3E3E3E"/>
          <w:sz w:val="16"/>
          <w:szCs w:val="16"/>
        </w:rPr>
        <w:t>Region where recommended where P = Piedmont and Mountains, CP = Coastal Plain, and S = Statewide.</w:t>
      </w:r>
    </w:p>
    <w:p w:rsidR="00EA0827" w:rsidRPr="00EA0827" w:rsidRDefault="00EA0827" w:rsidP="00EA0827">
      <w:pPr>
        <w:numPr>
          <w:ilvl w:val="0"/>
          <w:numId w:val="2"/>
        </w:numPr>
        <w:spacing w:after="0" w:line="240" w:lineRule="auto"/>
        <w:ind w:left="240"/>
        <w:rPr>
          <w:rFonts w:ascii="Helvetica" w:eastAsia="Times New Roman" w:hAnsi="Helvetica" w:cs="Helvetica"/>
          <w:color w:val="3E3E3E"/>
          <w:sz w:val="16"/>
          <w:szCs w:val="16"/>
        </w:rPr>
      </w:pPr>
      <w:r w:rsidRPr="00EA0827">
        <w:rPr>
          <w:rFonts w:ascii="Helvetica" w:eastAsia="Times New Roman" w:hAnsi="Helvetica" w:cs="Helvetica"/>
          <w:color w:val="3E3E3E"/>
          <w:sz w:val="16"/>
          <w:szCs w:val="16"/>
          <w:vertAlign w:val="superscript"/>
        </w:rPr>
        <w:t xml:space="preserve">c </w:t>
      </w:r>
      <w:r w:rsidRPr="00EA0827">
        <w:rPr>
          <w:rFonts w:ascii="Helvetica" w:eastAsia="Times New Roman" w:hAnsi="Helvetica" w:cs="Helvetica"/>
          <w:color w:val="3E3E3E"/>
          <w:sz w:val="16"/>
          <w:szCs w:val="16"/>
        </w:rPr>
        <w:t>Yield ratings where good = average or above, fair = below average. Poor yielding varieties are not listed.</w:t>
      </w:r>
    </w:p>
    <w:p w:rsidR="00EA0827" w:rsidRPr="00EA0827" w:rsidRDefault="00EA0827" w:rsidP="00EA0827">
      <w:pPr>
        <w:numPr>
          <w:ilvl w:val="0"/>
          <w:numId w:val="2"/>
        </w:numPr>
        <w:spacing w:after="0" w:line="240" w:lineRule="auto"/>
        <w:ind w:left="240"/>
        <w:rPr>
          <w:rFonts w:ascii="Helvetica" w:eastAsia="Times New Roman" w:hAnsi="Helvetica" w:cs="Helvetica"/>
          <w:color w:val="3E3E3E"/>
          <w:sz w:val="16"/>
          <w:szCs w:val="16"/>
        </w:rPr>
      </w:pPr>
      <w:r w:rsidRPr="00EA0827">
        <w:rPr>
          <w:rFonts w:ascii="Helvetica" w:eastAsia="Times New Roman" w:hAnsi="Helvetica" w:cs="Helvetica"/>
          <w:color w:val="3E3E3E"/>
          <w:sz w:val="16"/>
          <w:szCs w:val="16"/>
          <w:vertAlign w:val="superscript"/>
        </w:rPr>
        <w:t xml:space="preserve">d </w:t>
      </w:r>
      <w:r w:rsidRPr="00EA0827">
        <w:rPr>
          <w:rFonts w:ascii="Helvetica" w:eastAsia="Times New Roman" w:hAnsi="Helvetica" w:cs="Helvetica"/>
          <w:color w:val="3E3E3E"/>
          <w:sz w:val="16"/>
          <w:szCs w:val="16"/>
        </w:rPr>
        <w:t>Ratings for resistance to sugarcane aphid damage where poor = no resistance, good = moderate resistance, very good = resistant, and excellent = highly resistant.</w:t>
      </w:r>
    </w:p>
    <w:p w:rsidR="00EA0827" w:rsidRPr="00EA0827" w:rsidRDefault="00EA0827" w:rsidP="00EA0827">
      <w:pPr>
        <w:numPr>
          <w:ilvl w:val="0"/>
          <w:numId w:val="2"/>
        </w:numPr>
        <w:spacing w:after="0" w:line="240" w:lineRule="auto"/>
        <w:ind w:left="240"/>
        <w:rPr>
          <w:rFonts w:ascii="Helvetica" w:eastAsia="Times New Roman" w:hAnsi="Helvetica" w:cs="Helvetica"/>
          <w:color w:val="3E3E3E"/>
          <w:sz w:val="16"/>
          <w:szCs w:val="16"/>
        </w:rPr>
      </w:pPr>
      <w:r w:rsidRPr="00EA0827">
        <w:rPr>
          <w:rFonts w:ascii="Helvetica" w:eastAsia="Times New Roman" w:hAnsi="Helvetica" w:cs="Helvetica"/>
          <w:color w:val="3E3E3E"/>
          <w:sz w:val="16"/>
          <w:szCs w:val="16"/>
          <w:vertAlign w:val="superscript"/>
        </w:rPr>
        <w:t xml:space="preserve">e </w:t>
      </w:r>
      <w:r w:rsidRPr="00EA0827">
        <w:rPr>
          <w:rFonts w:ascii="Helvetica" w:eastAsia="Times New Roman" w:hAnsi="Helvetica" w:cs="Helvetica"/>
          <w:color w:val="3E3E3E"/>
          <w:sz w:val="16"/>
          <w:szCs w:val="16"/>
        </w:rPr>
        <w:t>Number of years the variety was included in the Statewide Variety Testing program’s summer annual forage trial. 1 = 1 year; 2 = 2 years; and 3 = 3 or more years. More info on UGA's Statewide Variety Testing page (see: </w:t>
      </w:r>
      <w:hyperlink r:id="rId14" w:history="1">
        <w:r w:rsidRPr="00EA0827">
          <w:rPr>
            <w:rFonts w:ascii="Helvetica" w:eastAsia="Times New Roman" w:hAnsi="Helvetica" w:cs="Helvetica"/>
            <w:b/>
            <w:bCs/>
            <w:color w:val="BA0C2F"/>
            <w:sz w:val="16"/>
            <w:szCs w:val="16"/>
            <w:u w:val="single"/>
          </w:rPr>
          <w:t>Soybean, Sorghum Grain &amp; Silage, Summer Annual Forages &amp; Sunflower Performance Tests</w:t>
        </w:r>
      </w:hyperlink>
      <w:r w:rsidRPr="00EA0827">
        <w:rPr>
          <w:rFonts w:ascii="Helvetica" w:eastAsia="Times New Roman" w:hAnsi="Helvetica" w:cs="Helvetica"/>
          <w:color w:val="3E3E3E"/>
          <w:sz w:val="16"/>
          <w:szCs w:val="16"/>
        </w:rPr>
        <w:t>)</w:t>
      </w:r>
    </w:p>
    <w:p w:rsidR="00EA0827" w:rsidRPr="009F065A" w:rsidRDefault="00EA0827" w:rsidP="00EA0827">
      <w:pPr>
        <w:spacing w:after="0" w:line="240" w:lineRule="auto"/>
        <w:rPr>
          <w:sz w:val="16"/>
          <w:szCs w:val="16"/>
        </w:rPr>
      </w:pPr>
    </w:p>
    <w:sectPr w:rsidR="00EA0827" w:rsidRPr="009F065A" w:rsidSect="009F065A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A426A"/>
    <w:multiLevelType w:val="multilevel"/>
    <w:tmpl w:val="400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7697B"/>
    <w:multiLevelType w:val="hybridMultilevel"/>
    <w:tmpl w:val="B1F6D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3F"/>
    <w:rsid w:val="00003507"/>
    <w:rsid w:val="00014AC0"/>
    <w:rsid w:val="000875CC"/>
    <w:rsid w:val="000A4F7B"/>
    <w:rsid w:val="000B7338"/>
    <w:rsid w:val="000E3D1F"/>
    <w:rsid w:val="000F2435"/>
    <w:rsid w:val="001054C4"/>
    <w:rsid w:val="00115054"/>
    <w:rsid w:val="0013588E"/>
    <w:rsid w:val="00157EF2"/>
    <w:rsid w:val="00196095"/>
    <w:rsid w:val="001D4DB1"/>
    <w:rsid w:val="0020446A"/>
    <w:rsid w:val="0020451F"/>
    <w:rsid w:val="00212B2E"/>
    <w:rsid w:val="002910F5"/>
    <w:rsid w:val="002C179A"/>
    <w:rsid w:val="002E1486"/>
    <w:rsid w:val="002E7128"/>
    <w:rsid w:val="002F568E"/>
    <w:rsid w:val="00300B87"/>
    <w:rsid w:val="003064B7"/>
    <w:rsid w:val="00316D2F"/>
    <w:rsid w:val="00337093"/>
    <w:rsid w:val="0034076A"/>
    <w:rsid w:val="0034334A"/>
    <w:rsid w:val="0036295F"/>
    <w:rsid w:val="0038049D"/>
    <w:rsid w:val="0038264A"/>
    <w:rsid w:val="00395624"/>
    <w:rsid w:val="003B40E3"/>
    <w:rsid w:val="003C7DF3"/>
    <w:rsid w:val="003D5FFE"/>
    <w:rsid w:val="00417EA0"/>
    <w:rsid w:val="00420CB2"/>
    <w:rsid w:val="0044753A"/>
    <w:rsid w:val="00477CD5"/>
    <w:rsid w:val="004C24FD"/>
    <w:rsid w:val="00516561"/>
    <w:rsid w:val="00526002"/>
    <w:rsid w:val="005825F9"/>
    <w:rsid w:val="005C52CF"/>
    <w:rsid w:val="006327A9"/>
    <w:rsid w:val="00641A25"/>
    <w:rsid w:val="006676B7"/>
    <w:rsid w:val="006C32FC"/>
    <w:rsid w:val="00716A30"/>
    <w:rsid w:val="00745C02"/>
    <w:rsid w:val="00754A51"/>
    <w:rsid w:val="007E172E"/>
    <w:rsid w:val="007F16F2"/>
    <w:rsid w:val="0081247D"/>
    <w:rsid w:val="00834E77"/>
    <w:rsid w:val="00851805"/>
    <w:rsid w:val="00854E6B"/>
    <w:rsid w:val="008764B9"/>
    <w:rsid w:val="00926433"/>
    <w:rsid w:val="009529F2"/>
    <w:rsid w:val="0096443F"/>
    <w:rsid w:val="009B292A"/>
    <w:rsid w:val="009E6C1D"/>
    <w:rsid w:val="009F065A"/>
    <w:rsid w:val="009F4E72"/>
    <w:rsid w:val="00A216AC"/>
    <w:rsid w:val="00A46EAD"/>
    <w:rsid w:val="00AA32CE"/>
    <w:rsid w:val="00AB27BC"/>
    <w:rsid w:val="00AC6F0A"/>
    <w:rsid w:val="00AF0572"/>
    <w:rsid w:val="00B068D2"/>
    <w:rsid w:val="00B12E5F"/>
    <w:rsid w:val="00B8647A"/>
    <w:rsid w:val="00C0383F"/>
    <w:rsid w:val="00C26999"/>
    <w:rsid w:val="00C324CF"/>
    <w:rsid w:val="00C41ACC"/>
    <w:rsid w:val="00CC750B"/>
    <w:rsid w:val="00CE3598"/>
    <w:rsid w:val="00D17DBE"/>
    <w:rsid w:val="00D250A5"/>
    <w:rsid w:val="00D82296"/>
    <w:rsid w:val="00DA6BE0"/>
    <w:rsid w:val="00E02F47"/>
    <w:rsid w:val="00E06A49"/>
    <w:rsid w:val="00E074F5"/>
    <w:rsid w:val="00E41906"/>
    <w:rsid w:val="00E843E8"/>
    <w:rsid w:val="00E93447"/>
    <w:rsid w:val="00EA0827"/>
    <w:rsid w:val="00ED167F"/>
    <w:rsid w:val="00EE2C10"/>
    <w:rsid w:val="00F020E1"/>
    <w:rsid w:val="00F0366D"/>
    <w:rsid w:val="00F6164B"/>
    <w:rsid w:val="00FA03FD"/>
    <w:rsid w:val="00FF153D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8E777-4C32-44D3-AD9D-FE21DCF1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8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A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aes.uga.edu/extension-outreach/commodities/forages/species-and-varieties/warm-season/sorghum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gbuntin@uga.ed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caes2.caes.uga.edu/commodities/swvt/ssfTe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DBuntin</dc:creator>
  <cp:lastModifiedBy>David Bryce Sutherland</cp:lastModifiedBy>
  <cp:revision>2</cp:revision>
  <cp:lastPrinted>2019-02-27T14:51:00Z</cp:lastPrinted>
  <dcterms:created xsi:type="dcterms:W3CDTF">2019-07-05T14:54:00Z</dcterms:created>
  <dcterms:modified xsi:type="dcterms:W3CDTF">2019-07-05T14:54:00Z</dcterms:modified>
</cp:coreProperties>
</file>